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FAB"/>
          <w:sz w:val="22"/>
          <w:szCs w:val="22"/>
        </w:rPr>
        <w:t xml:space="preserve">SESSION 20 · TRANSCRIPT (THEORY)</w:t>
      </w:r>
    </w:p>
    <w:p>
      <w:pPr>
        <w:spacing w:after="60"/>
      </w:pPr>
      <w:r>
        <w:rPr>
          <w:rFonts w:ascii="Arial" w:cs="Arial" w:eastAsia="Arial" w:hAnsi="Arial"/>
          <w:b/>
          <w:bCs/>
          <w:color w:val="0F2440"/>
          <w:sz w:val="44"/>
          <w:szCs w:val="44"/>
        </w:rPr>
        <w:t xml:space="preserve">Text Representation</w:t>
      </w:r>
    </w:p>
    <w:p>
      <w:pPr>
        <w:spacing w:after="60"/>
      </w:pPr>
      <w:r>
        <w:rPr>
          <w:color w:val="64748B"/>
          <w:sz w:val="26"/>
          <w:szCs w:val="26"/>
        </w:rPr>
        <w:t xml:space="preserve">Slide-by-Slide Teaching Transcript</w:t>
      </w:r>
    </w:p>
    <w:p>
      <w:pPr>
        <w:pBdr>
          <w:bottom w:val="single" w:color="0E7FAB" w:sz="12" w:space="4"/>
        </w:pBdr>
        <w:spacing w:after="220"/>
      </w:pPr>
      <w:r>
        <w:t xml:space="preserve"/>
      </w:r>
    </w:p>
    <w:p>
      <w:pPr>
        <w:spacing w:after="140" w:line="288"/>
      </w:pPr>
      <w:r>
        <w:rPr>
          <w:i/>
          <w:iCs/>
          <w:color w:val="64748B"/>
        </w:rPr>
        <w:t xml:space="preserve">How to use this script: this is the spoken narration for the Session 20 slide deck — the theory half of the session, roughly 30 to 35 minutes. Read it naturally rather than word-for-word; the bold Cue lines are stage directions for you, not things to say aloud. Pause where you see them. Aim to keep each slide to about two minutes.</w:t>
      </w:r>
    </w:p>
    <w:p>
      <w:pPr>
        <w:pBdr>
          <w:bottom w:val="single" w:color="D5DEEA" w:sz="6" w:space="1"/>
        </w:pBdr>
        <w:spacing w:after="160"/>
      </w:pPr>
      <w:r>
        <w:t xml:space="preserve"/>
      </w:r>
    </w:p>
    <w:p>
      <w:pPr>
        <w:pStyle w:val="Heading1"/>
      </w:pPr>
      <w:r>
        <w:t xml:space="preserve">Slide 1 — Title: Text Representation</w:t>
      </w:r>
    </w:p>
    <w:p>
      <w:pPr>
        <w:spacing w:after="140" w:line="288"/>
      </w:pPr>
      <w:r>
        <w:t xml:space="preserve">Welcome back. Last session we took messy human text and cleaned it up — we lowercased it, split it into tokens, removed stop words, and reduced words to their base forms. We ended with a tidy list of words. But a list of words is still words, and a model can't do anything with words. Today we close that final gap: we turn those words into numbers. That's what “Text Representation” means.</w:t>
      </w:r>
    </w:p>
    <w:p>
      <w:pPr>
        <w:spacing w:after="140" w:line="288"/>
      </w:pPr>
      <w:r>
        <w:t xml:space="preserve">By the end of this hour you'll understand three classic ways to do it — one-hot encoding, Bag of Words, and TF-IDF — and you'll have built all three yourself in Python.</w:t>
      </w:r>
    </w:p>
    <w:p>
      <w:pPr>
        <w:spacing w:after="120" w:line="264"/>
        <w:ind w:left="360"/>
      </w:pPr>
      <w:r>
        <w:rPr>
          <w:b/>
          <w:bCs/>
          <w:i/>
          <w:iCs/>
          <w:color w:val="0E7FAB"/>
          <w:sz w:val="19"/>
          <w:szCs w:val="19"/>
        </w:rPr>
        <w:t xml:space="preserve">Cue  </w:t>
      </w:r>
      <w:r>
        <w:rPr>
          <w:i/>
          <w:iCs/>
          <w:color w:val="64748B"/>
          <w:sz w:val="21"/>
          <w:szCs w:val="21"/>
        </w:rPr>
        <w:t xml:space="preserve">Read the four tags at the bottom aloud so they know the roadmap. Then advance.</w:t>
      </w:r>
    </w:p>
    <w:p>
      <w:pPr>
        <w:pStyle w:val="Heading1"/>
      </w:pPr>
      <w:r>
        <w:t xml:space="preserve">Slide 2 — Today's Agenda</w:t>
      </w:r>
    </w:p>
    <w:p>
      <w:pPr>
        <w:spacing w:after="140" w:line="288"/>
      </w:pPr>
      <w:r>
        <w:t xml:space="preserve">Here's the plan. We start with the core problem — why text has to become numbers at all. Then feature extraction, which is the general idea of turning a document into a vector. Then the three methods, building from simplest to smartest: one-hot encoding, then Bag of Words, then TF-IDF. And finally we move to the notebook, where you'll code all three with scikit-learn.</w:t>
      </w:r>
    </w:p>
    <w:p>
      <w:pPr>
        <w:spacing w:after="120" w:line="264"/>
        <w:ind w:left="360"/>
      </w:pPr>
      <w:r>
        <w:rPr>
          <w:b/>
          <w:bCs/>
          <w:i/>
          <w:iCs/>
          <w:color w:val="0E7FAB"/>
          <w:sz w:val="19"/>
          <w:szCs w:val="19"/>
        </w:rPr>
        <w:t xml:space="preserve">Cue  </w:t>
      </w:r>
      <w:r>
        <w:rPr>
          <w:i/>
          <w:iCs/>
          <w:color w:val="64748B"/>
          <w:sz w:val="21"/>
          <w:szCs w:val="21"/>
        </w:rPr>
        <w:t xml:space="preserve">Point out the 50/50 split: items 1 through 5 are the slides; item 6 is hands-on. Advance.</w:t>
      </w:r>
    </w:p>
    <w:p>
      <w:pPr>
        <w:pStyle w:val="Heading1"/>
      </w:pPr>
      <w:r>
        <w:t xml:space="preserve">Slide 3 — From Tokens to Numbers</w:t>
      </w:r>
    </w:p>
    <w:p>
      <w:pPr>
        <w:spacing w:after="140" w:line="288"/>
      </w:pPr>
      <w:r>
        <w:t xml:space="preserve">Quick bridge from last week. On the left is where we left off: raw text in, cleaned and lowercased, split into tokens, stop words gone, lemmatized — out comes a clean list of words. That was the whole job of Session 19.</w:t>
      </w:r>
    </w:p>
    <w:p>
      <w:pPr>
        <w:spacing w:after="140" w:line="288"/>
      </w:pPr>
      <w:r>
        <w:t xml:space="preserve">On the right is the problem that's still sitting there. A model cannot multiply the word “cat” by a weight. Machine-learning algorithms are just arithmetic — they only work on numbers. So today's single job, in the blue box, is to convert those tokens into a vector of numbers the model can actually learn from.</w:t>
      </w:r>
    </w:p>
    <w:p>
      <w:pPr>
        <w:spacing w:after="120" w:line="264"/>
        <w:ind w:left="360"/>
      </w:pPr>
      <w:r>
        <w:rPr>
          <w:b/>
          <w:bCs/>
          <w:i/>
          <w:iCs/>
          <w:color w:val="0E7FAB"/>
          <w:sz w:val="19"/>
          <w:szCs w:val="19"/>
        </w:rPr>
        <w:t xml:space="preserve">Cue  </w:t>
      </w:r>
      <w:r>
        <w:rPr>
          <w:i/>
          <w:iCs/>
          <w:color w:val="64748B"/>
          <w:sz w:val="21"/>
          <w:szCs w:val="21"/>
        </w:rPr>
        <w:t xml:space="preserve">Tap the arrow between the two panels — “this arrow is everything we do today.”</w:t>
      </w:r>
    </w:p>
    <w:p>
      <w:pPr>
        <w:pStyle w:val="Heading1"/>
      </w:pPr>
      <w:r>
        <w:t xml:space="preserve">Slide 4 — Why Computers Can't Read Text</w:t>
      </w:r>
    </w:p>
    <w:p>
      <w:pPr>
        <w:spacing w:after="140" w:line="288"/>
      </w:pPr>
      <w:r>
        <w:t xml:space="preserve">Let me make the problem concrete by comparing text to something we've worked with all course: images. An image is already numbers. Every pixel is a value from 0 to 255. A model can add them, scale them, compare them straight away — no translation needed. That's the green panel.</w:t>
      </w:r>
    </w:p>
    <w:p>
      <w:pPr>
        <w:spacing w:after="140" w:line="288"/>
      </w:pPr>
      <w:r>
        <w:t xml:space="preserve">Text is different. The word “cat” is just three letters — symbols. There's no number to multiply, no natural order, no notion of distance between words. That's the red panel: a model simply can't use it.</w:t>
      </w:r>
    </w:p>
    <w:p>
      <w:pPr>
        <w:spacing w:after="140" w:line="288"/>
      </w:pPr>
      <w:r>
        <w:t xml:space="preserve">So we need a recipe that turns words into vectors of numbers. That recipe has a name — feature extraction — and that's where we're headed next.</w:t>
      </w:r>
    </w:p>
    <w:p>
      <w:pPr>
        <w:spacing w:after="120" w:line="264"/>
        <w:ind w:left="360"/>
      </w:pPr>
      <w:r>
        <w:rPr>
          <w:b/>
          <w:bCs/>
          <w:i/>
          <w:iCs/>
          <w:color w:val="0E7FAB"/>
          <w:sz w:val="19"/>
          <w:szCs w:val="19"/>
        </w:rPr>
        <w:t xml:space="preserve">Cue  </w:t>
      </w:r>
      <w:r>
        <w:rPr>
          <w:i/>
          <w:iCs/>
          <w:color w:val="64748B"/>
          <w:sz w:val="21"/>
          <w:szCs w:val="21"/>
        </w:rPr>
        <w:t xml:space="preserve">Ask the room: “Why do you think images were easier for us than text will be?” Take one answer, then advance.</w:t>
      </w:r>
    </w:p>
    <w:p>
      <w:pPr>
        <w:pStyle w:val="Heading1"/>
      </w:pPr>
      <w:r>
        <w:t xml:space="preserve">Slide 5 — Feature Extraction: Text → Vectors</w:t>
      </w:r>
    </w:p>
    <w:p>
      <w:pPr>
        <w:spacing w:after="140" w:line="288"/>
      </w:pPr>
      <w:r>
        <w:t xml:space="preserve">Here's the general shape of every method we'll see today. First we fix a vocabulary — the set of all words we care about. Then each document gets described by numbers measured against that vocabulary.</w:t>
      </w:r>
    </w:p>
    <w:p>
      <w:pPr>
        <w:spacing w:after="140" w:line="288"/>
      </w:pPr>
      <w:r>
        <w:t xml:space="preserve">Follow the diagram left to right: a document goes in, a vectorizer counts or weights each vocabulary word, and out comes a feature vector — a fixed-length row of numbers. Same document, same vocabulary, always the same length vector. That fixed length is exactly what a model needs.</w:t>
      </w:r>
    </w:p>
    <w:p>
      <w:pPr>
        <w:spacing w:after="140" w:line="288"/>
      </w:pPr>
      <w:r>
        <w:t xml:space="preserve">The only thing that changes between our three methods is how we fill that vector. One-hot, Bag of Words, and TF-IDF — simplest to smartest. Let's start with the simplest.</w:t>
      </w:r>
    </w:p>
    <w:p>
      <w:pPr>
        <w:spacing w:after="120" w:line="264"/>
        <w:ind w:left="360"/>
      </w:pPr>
      <w:r>
        <w:rPr>
          <w:b/>
          <w:bCs/>
          <w:i/>
          <w:iCs/>
          <w:color w:val="0E7FAB"/>
          <w:sz w:val="19"/>
          <w:szCs w:val="19"/>
        </w:rPr>
        <w:t xml:space="preserve">Cue  </w:t>
      </w:r>
      <w:r>
        <w:rPr>
          <w:i/>
          <w:iCs/>
          <w:color w:val="64748B"/>
          <w:sz w:val="21"/>
          <w:szCs w:val="21"/>
        </w:rPr>
        <w:t xml:space="preserve">Advance.</w:t>
      </w:r>
    </w:p>
    <w:p>
      <w:pPr>
        <w:pStyle w:val="Heading1"/>
      </w:pPr>
      <w:r>
        <w:t xml:space="preserve">Slide 6 — One-Hot Encoding</w:t>
      </w:r>
    </w:p>
    <w:p>
      <w:pPr>
        <w:spacing w:after="140" w:line="288"/>
      </w:pPr>
      <w:r>
        <w:t xml:space="preserve">One-hot encoding is the most literal idea you could come up with. Give every word in the vocabulary its own position — its own slot. A word is then a vector of all zeros with a single one in its slot. That single one is the “hot” slot — that's where the name comes from.</w:t>
      </w:r>
    </w:p>
    <w:p>
      <w:pPr>
        <w:spacing w:after="140" w:line="288"/>
      </w:pPr>
      <w:r>
        <w:t xml:space="preserve">Look at the grid. Our vocabulary is cat, sat, mat, dog, ran. The word “cat” lights up the first slot and nothing else. “dog” lights up the fourth slot. Each word is a clean little vector.</w:t>
      </w:r>
    </w:p>
    <w:p>
      <w:pPr>
        <w:spacing w:after="140" w:line="288"/>
      </w:pPr>
      <w:r>
        <w:t xml:space="preserve">But notice the line at the bottom, because it's the key insight: every word is exactly the same distance from every other word. “cat” is no closer to “dog” than it is to “mat.” One-hot carries zero meaning — it just gives each word a name tag.</w:t>
      </w:r>
    </w:p>
    <w:p>
      <w:pPr>
        <w:spacing w:after="120" w:line="264"/>
        <w:ind w:left="360"/>
      </w:pPr>
      <w:r>
        <w:rPr>
          <w:b/>
          <w:bCs/>
          <w:i/>
          <w:iCs/>
          <w:color w:val="0E7FAB"/>
          <w:sz w:val="19"/>
          <w:szCs w:val="19"/>
        </w:rPr>
        <w:t xml:space="preserve">Cue  </w:t>
      </w:r>
      <w:r>
        <w:rPr>
          <w:i/>
          <w:iCs/>
          <w:color w:val="64748B"/>
          <w:sz w:val="21"/>
          <w:szCs w:val="21"/>
        </w:rPr>
        <w:t xml:space="preserve">Emphasize “equally distant.” This sets up the limitation on the next slide.</w:t>
      </w:r>
    </w:p>
    <w:p>
      <w:pPr>
        <w:pStyle w:val="Heading1"/>
      </w:pPr>
      <w:r>
        <w:t xml:space="preserve">Slide 7 — One-Hot: Simple but Limited</w:t>
      </w:r>
    </w:p>
    <w:p>
      <w:pPr>
        <w:spacing w:after="140" w:line="288"/>
      </w:pPr>
      <w:r>
        <w:t xml:space="preserve">Three problems, and they're why we rarely stop here. First, no meaning — we just saw that; every word is an island. Second, huge and sparse: real vocabularies have fifty thousand words or more, so every vector is fifty thousand numbers long and almost all of them are zero. That's wasteful to store and slow to compute. Third, no order and no room for new words — a brand-new word has no slot at all, the out-of-vocabulary problem from last session.</w:t>
      </w:r>
    </w:p>
    <w:p>
      <w:pPr>
        <w:spacing w:after="140" w:line="288"/>
      </w:pPr>
      <w:r>
        <w:t xml:space="preserve">Here's the fix for short documents: instead of one vector per word, make one vector per document. Count how many times each word shows up. That's Bag of Words.</w:t>
      </w:r>
    </w:p>
    <w:p>
      <w:pPr>
        <w:spacing w:after="120" w:line="264"/>
        <w:ind w:left="360"/>
      </w:pPr>
      <w:r>
        <w:rPr>
          <w:b/>
          <w:bCs/>
          <w:i/>
          <w:iCs/>
          <w:color w:val="0E7FAB"/>
          <w:sz w:val="19"/>
          <w:szCs w:val="19"/>
        </w:rPr>
        <w:t xml:space="preserve">Cue  </w:t>
      </w:r>
      <w:r>
        <w:rPr>
          <w:i/>
          <w:iCs/>
          <w:color w:val="64748B"/>
          <w:sz w:val="21"/>
          <w:szCs w:val="21"/>
        </w:rPr>
        <w:t xml:space="preserve">Advance into BoW.</w:t>
      </w:r>
    </w:p>
    <w:p>
      <w:pPr>
        <w:pStyle w:val="Heading1"/>
      </w:pPr>
      <w:r>
        <w:t xml:space="preserve">Slide 8 — Bag of Words (BoW)</w:t>
      </w:r>
    </w:p>
    <w:p>
      <w:pPr>
        <w:spacing w:after="140" w:line="288"/>
      </w:pPr>
      <w:r>
        <w:t xml:space="preserve">Bag of Words. The picture in your head should be: tip the whole document into a bag, shake it so you lose the order, and just count how many of each word you have. Order is gone — that's why it's a “bag” — but you get one tidy row of counts per document.</w:t>
      </w:r>
    </w:p>
    <w:p>
      <w:pPr>
        <w:spacing w:after="140" w:line="288"/>
      </w:pPr>
      <w:r>
        <w:t xml:space="preserve">Take the sentence “the cat sat on the mat.” The word “the” appears twice, so its count is two; everything else appears once. The feature vector is just those counts: 2, 1, 1, 1, 1. A fixed-length, model-ready row of numbers.</w:t>
      </w:r>
    </w:p>
    <w:p>
      <w:pPr>
        <w:spacing w:after="140" w:line="288"/>
      </w:pPr>
      <w:r>
        <w:t xml:space="preserve">The trade-offs at the bottom: it's compact and it captures frequency, which is genuinely useful. But it still ignores word order, and it treats every word as equally important — which, as we'll see, is a real problem.</w:t>
      </w:r>
    </w:p>
    <w:p>
      <w:pPr>
        <w:spacing w:after="120" w:line="264"/>
        <w:ind w:left="360"/>
      </w:pPr>
      <w:r>
        <w:rPr>
          <w:b/>
          <w:bCs/>
          <w:i/>
          <w:iCs/>
          <w:color w:val="0E7FAB"/>
          <w:sz w:val="19"/>
          <w:szCs w:val="19"/>
        </w:rPr>
        <w:t xml:space="preserve">Cue  </w:t>
      </w:r>
      <w:r>
        <w:rPr>
          <w:i/>
          <w:iCs/>
          <w:color w:val="64748B"/>
          <w:sz w:val="21"/>
          <w:szCs w:val="21"/>
        </w:rPr>
        <w:t xml:space="preserve">Foreshadow: “hold onto that word ‘the’ appearing twice — it's about to cause trouble.”</w:t>
      </w:r>
    </w:p>
    <w:p>
      <w:pPr>
        <w:pStyle w:val="Heading1"/>
      </w:pPr>
      <w:r>
        <w:t xml:space="preserve">Slide 9 — BoW: The Document-Term Matrix</w:t>
      </w:r>
    </w:p>
    <w:p>
      <w:pPr>
        <w:spacing w:after="140" w:line="288"/>
      </w:pPr>
      <w:r>
        <w:t xml:space="preserve">When you have many documents, you stack their count-vectors into one table. This is the document-term matrix: one row per document, one column per word. Read across a row to see what's in a document; read down a column to see how a word is used across the collection.</w:t>
      </w:r>
    </w:p>
    <w:p>
      <w:pPr>
        <w:spacing w:after="140" w:line="288"/>
      </w:pPr>
      <w:r>
        <w:t xml:space="preserve">This exact table is what scikit-learn's CountVectorizer hands you — and it's ready to feed straight into a classifier. We'll generate it ourselves in a few minutes.</w:t>
      </w:r>
    </w:p>
    <w:p>
      <w:pPr>
        <w:spacing w:after="140" w:line="288"/>
      </w:pPr>
      <w:r>
        <w:t xml:space="preserve">But look at the warning at the bottom. Common words like “the” get the biggest counts, yet they tell us almost nothing — “the” is in everything. We want to reward words that are distinctive, not words that are everywhere. That's the problem TF-IDF was invented to solve.</w:t>
      </w:r>
    </w:p>
    <w:p>
      <w:pPr>
        <w:spacing w:after="120" w:line="264"/>
        <w:ind w:left="360"/>
      </w:pPr>
      <w:r>
        <w:rPr>
          <w:b/>
          <w:bCs/>
          <w:i/>
          <w:iCs/>
          <w:color w:val="0E7FAB"/>
          <w:sz w:val="19"/>
          <w:szCs w:val="19"/>
        </w:rPr>
        <w:t xml:space="preserve">Cue  </w:t>
      </w:r>
      <w:r>
        <w:rPr>
          <w:i/>
          <w:iCs/>
          <w:color w:val="64748B"/>
          <w:sz w:val="21"/>
          <w:szCs w:val="21"/>
        </w:rPr>
        <w:t xml:space="preserve">Advance.</w:t>
      </w:r>
    </w:p>
    <w:p>
      <w:pPr>
        <w:pStyle w:val="Heading1"/>
      </w:pPr>
      <w:r>
        <w:t xml:space="preserve">Slide 10 — TF-IDF: Weighting What Matters</w:t>
      </w:r>
    </w:p>
    <w:p>
      <w:pPr>
        <w:spacing w:after="140" w:line="288"/>
      </w:pPr>
      <w:r>
        <w:t xml:space="preserve">TF-IDF keeps the counts but re-weights them, so that a word only scores high when it's frequent in this particular document but rare across all the others. It's two ideas multiplied together.</w:t>
      </w:r>
    </w:p>
    <w:p>
      <w:pPr>
        <w:spacing w:after="140" w:line="288"/>
      </w:pPr>
      <w:r>
        <w:t xml:space="preserve">TF — term frequency — is just how often a word appears in this document. More mentions here means more relevant here. That's the left card.</w:t>
      </w:r>
    </w:p>
    <w:p>
      <w:pPr>
        <w:spacing w:after="140" w:line="288"/>
      </w:pPr>
      <w:r>
        <w:t xml:space="preserve">IDF — inverse document frequency — measures how rare the word is across the whole collection. A word that shows up in every document, like “the,” gets a near-zero weight. That's the right card.</w:t>
      </w:r>
    </w:p>
    <w:p>
      <w:pPr>
        <w:spacing w:after="140" w:line="288"/>
      </w:pPr>
      <w:r>
        <w:t xml:space="preserve">Multiply them — TF times IDF — and a word scores high only when both are true: frequent here and rare elsewhere. That's the whole intuition.</w:t>
      </w:r>
    </w:p>
    <w:p>
      <w:pPr>
        <w:spacing w:after="120" w:line="264"/>
        <w:ind w:left="360"/>
      </w:pPr>
      <w:r>
        <w:rPr>
          <w:b/>
          <w:bCs/>
          <w:i/>
          <w:iCs/>
          <w:color w:val="0E7FAB"/>
          <w:sz w:val="19"/>
          <w:szCs w:val="19"/>
        </w:rPr>
        <w:t xml:space="preserve">Cue  </w:t>
      </w:r>
      <w:r>
        <w:rPr>
          <w:i/>
          <w:iCs/>
          <w:color w:val="64748B"/>
          <w:sz w:val="21"/>
          <w:szCs w:val="21"/>
        </w:rPr>
        <w:t xml:space="preserve">Say the one-liner slowly: “Frequent here, AND rare elsewhere.”</w:t>
      </w:r>
    </w:p>
    <w:p>
      <w:pPr>
        <w:pStyle w:val="Heading1"/>
      </w:pPr>
      <w:r>
        <w:t xml:space="preserve">Slide 11 — TF-IDF: The Formula</w:t>
      </w:r>
    </w:p>
    <w:p>
      <w:pPr>
        <w:spacing w:after="140" w:line="288"/>
      </w:pPr>
      <w:r>
        <w:t xml:space="preserve">Now the actual formula — and it's friendlier than it looks. Term frequency is the count of a word in a document, divided by the number of words in that document. Inverse document frequency is the logarithm of N — the total number of documents — divided by the number of documents that contain the word. And TF-IDF is simply those two multiplied.</w:t>
      </w:r>
    </w:p>
    <w:p>
      <w:pPr>
        <w:spacing w:after="140" w:line="288"/>
      </w:pPr>
      <w:r>
        <w:t xml:space="preserve">Let's sanity-check it with the worked example. Say we have a hundred documents. The word “the” appears in all hundred, so IDF is log of 100 over 100 — that's log of 1, which is zero. Multiply anything by zero and “the” gets a weight of essentially zero. It's ignored, exactly as we want.</w:t>
      </w:r>
    </w:p>
    <w:p>
      <w:pPr>
        <w:spacing w:after="140" w:line="288"/>
      </w:pPr>
      <w:r>
        <w:t xml:space="preserve">Now “neural” appears in only five documents. IDF is log of 100 over 5, which is about 1.3 — a healthy, positive weight. So “neural” keeps its importance. The formula automatically suppresses the boring words and spotlights the informative ones.</w:t>
      </w:r>
    </w:p>
    <w:p>
      <w:pPr>
        <w:spacing w:after="120" w:line="264"/>
        <w:ind w:left="360"/>
      </w:pPr>
      <w:r>
        <w:rPr>
          <w:b/>
          <w:bCs/>
          <w:i/>
          <w:iCs/>
          <w:color w:val="0E7FAB"/>
          <w:sz w:val="19"/>
          <w:szCs w:val="19"/>
        </w:rPr>
        <w:t xml:space="preserve">Cue  </w:t>
      </w:r>
      <w:r>
        <w:rPr>
          <w:i/>
          <w:iCs/>
          <w:color w:val="64748B"/>
          <w:sz w:val="21"/>
          <w:szCs w:val="21"/>
        </w:rPr>
        <w:t xml:space="preserve">If the class is comfortable with logs, note: log of 1 is 0 is the whole trick. If not, just say “the math drives common words to zero.”</w:t>
      </w:r>
    </w:p>
    <w:p>
      <w:pPr>
        <w:pStyle w:val="Heading1"/>
      </w:pPr>
      <w:r>
        <w:t xml:space="preserve">Slide 12 — TF-IDF in Action</w:t>
      </w:r>
    </w:p>
    <w:p>
      <w:pPr>
        <w:spacing w:after="140" w:line="288"/>
      </w:pPr>
      <w:r>
        <w:t xml:space="preserve">Here are the same three documents we used for Bag of Words, but now with TF-IDF weights instead of raw counts. Compare this to the count table from a few slides ago.</w:t>
      </w:r>
    </w:p>
    <w:p>
      <w:pPr>
        <w:spacing w:after="140" w:line="288"/>
      </w:pPr>
      <w:r>
        <w:t xml:space="preserve">The headline is in the green box: “the” now scores zero — it appeared in every document, so it was weighted out entirely. Meanwhile the distinctive words — “sat,” “ran,” “and” — now carry the weight, because each appears in just one document.</w:t>
      </w:r>
    </w:p>
    <w:p>
      <w:pPr>
        <w:spacing w:after="140" w:line="288"/>
      </w:pPr>
      <w:r>
        <w:t xml:space="preserve">One honest note: the numbers on this slide are rounded and illustrative, just to show the pattern. The notebook computes the exact values with scikit-learn, and we'll read the real numbers there.</w:t>
      </w:r>
    </w:p>
    <w:p>
      <w:pPr>
        <w:spacing w:after="120" w:line="264"/>
        <w:ind w:left="360"/>
      </w:pPr>
      <w:r>
        <w:rPr>
          <w:b/>
          <w:bCs/>
          <w:i/>
          <w:iCs/>
          <w:color w:val="0E7FAB"/>
          <w:sz w:val="19"/>
          <w:szCs w:val="19"/>
        </w:rPr>
        <w:t xml:space="preserve">Cue  </w:t>
      </w:r>
      <w:r>
        <w:rPr>
          <w:i/>
          <w:iCs/>
          <w:color w:val="64748B"/>
          <w:sz w:val="21"/>
          <w:szCs w:val="21"/>
        </w:rPr>
        <w:t xml:space="preserve">Advance to the comparison.</w:t>
      </w:r>
    </w:p>
    <w:p>
      <w:pPr>
        <w:pStyle w:val="Heading1"/>
      </w:pPr>
      <w:r>
        <w:t xml:space="preserve">Slide 13 — One-Hot vs BoW vs TF-IDF</w:t>
      </w:r>
    </w:p>
    <w:p>
      <w:pPr>
        <w:spacing w:after="140" w:line="288"/>
      </w:pPr>
      <w:r>
        <w:t xml:space="preserve">Let's put the three side by side. One-hot works on a single word; Bag of Words and TF-IDF describe a whole document. The values go from zeros-and-ones, to counts, to weighted scores. On common words: one-hot treats them equally, Bag of Words over-weights them, and TF-IDF down-weights them — that progression is really the story of the whole session.</w:t>
      </w:r>
    </w:p>
    <w:p>
      <w:pPr>
        <w:spacing w:after="140" w:line="288"/>
      </w:pPr>
      <w:r>
        <w:t xml:space="preserve">Notice the row that doesn't change: none of the three capture word order. Every one of them is order-blind. And for “best for” — one-hot suits tiny vocabularies and category labels, Bag of Words is a great quick baseline, and TF-IDF is the workhorse for search and text classification.</w:t>
      </w:r>
    </w:p>
    <w:p>
      <w:pPr>
        <w:spacing w:after="120" w:line="264"/>
        <w:ind w:left="360"/>
      </w:pPr>
      <w:r>
        <w:rPr>
          <w:b/>
          <w:bCs/>
          <w:i/>
          <w:iCs/>
          <w:color w:val="0E7FAB"/>
          <w:sz w:val="19"/>
          <w:szCs w:val="19"/>
        </w:rPr>
        <w:t xml:space="preserve">Cue  </w:t>
      </w:r>
      <w:r>
        <w:rPr>
          <w:i/>
          <w:iCs/>
          <w:color w:val="64748B"/>
          <w:sz w:val="21"/>
          <w:szCs w:val="21"/>
        </w:rPr>
        <w:t xml:space="preserve">Let this table breathe — it's the slide they'll photograph. Pause.</w:t>
      </w:r>
    </w:p>
    <w:p>
      <w:pPr>
        <w:pStyle w:val="Heading1"/>
      </w:pPr>
      <w:r>
        <w:t xml:space="preserve">Slide 14 — The Shared Blind Spot</w:t>
      </w:r>
    </w:p>
    <w:p>
      <w:pPr>
        <w:spacing w:after="140" w:line="288"/>
      </w:pPr>
      <w:r>
        <w:t xml:space="preserve">All three methods are genuinely useful, but they share one deep blind spot: they treat words as independent symbols. They count and weight, but they never learn that words can be related in meaning. To any of these methods, “king” and “queen” are as unrelated as “king” and “banana.”</w:t>
      </w:r>
    </w:p>
    <w:p>
      <w:pPr>
        <w:spacing w:after="140" w:line="288"/>
      </w:pPr>
      <w:r>
        <w:t xml:space="preserve">And because they ignore order, “dog bites man” and “man bites dog” produce the identical vector — opposite meanings, same numbers. Plus the vectors stay huge and mostly zero.</w:t>
      </w:r>
    </w:p>
    <w:p>
      <w:pPr>
        <w:spacing w:after="140" w:line="288"/>
      </w:pPr>
      <w:r>
        <w:t xml:space="preserve">That's exactly the door into the next topic — word embeddings. Dense vectors, learned from data, where similar words sit close together, so that you can literally do arithmetic like “king minus man plus woman lands near queen.” That's the leap into modern NLP, and it's where we go next session.</w:t>
      </w:r>
    </w:p>
    <w:p>
      <w:pPr>
        <w:spacing w:after="120" w:line="264"/>
        <w:ind w:left="360"/>
      </w:pPr>
      <w:r>
        <w:rPr>
          <w:b/>
          <w:bCs/>
          <w:i/>
          <w:iCs/>
          <w:color w:val="0E7FAB"/>
          <w:sz w:val="19"/>
          <w:szCs w:val="19"/>
        </w:rPr>
        <w:t xml:space="preserve">Cue  </w:t>
      </w:r>
      <w:r>
        <w:rPr>
          <w:i/>
          <w:iCs/>
          <w:color w:val="64748B"/>
          <w:sz w:val="21"/>
          <w:szCs w:val="21"/>
        </w:rPr>
        <w:t xml:space="preserve">Plant the hook for next week, then move to recap.</w:t>
      </w:r>
    </w:p>
    <w:p>
      <w:pPr>
        <w:pStyle w:val="Heading1"/>
      </w:pPr>
      <w:r>
        <w:t xml:space="preserve">Slide 15 — Recap &amp; What's Next</w:t>
      </w:r>
    </w:p>
    <w:p>
      <w:pPr>
        <w:spacing w:after="140" w:line="288"/>
      </w:pPr>
      <w:r>
        <w:t xml:space="preserve">Let's pull it together. Why numbers? Because models do arithmetic, so text has to become feature vectors first. One-hot encoding: one slot per word, a single one — simple, but huge, sparse, and meaning-free. Bag of Words: count the words per document — compact and useful, but common words dominate. TF-IDF: weight by TF times IDF, so the informative, document-specific words stand out. And the shared limit: none of them capture order or meaning — which is the door to word embeddings.</w:t>
      </w:r>
    </w:p>
    <w:p>
      <w:pPr>
        <w:spacing w:after="140" w:line="288"/>
      </w:pPr>
      <w:r>
        <w:t xml:space="preserve">Now we switch to the notebook. You'll build all three representations with scikit-learn, inspect the matrices yourselves, and see exactly which words each method rewards. Open the Session 20 notebook and let's code.</w:t>
      </w:r>
    </w:p>
    <w:p>
      <w:pPr>
        <w:spacing w:after="120" w:line="264"/>
        <w:ind w:left="360"/>
      </w:pPr>
      <w:r>
        <w:rPr>
          <w:b/>
          <w:bCs/>
          <w:i/>
          <w:iCs/>
          <w:color w:val="0E7FAB"/>
          <w:sz w:val="19"/>
          <w:szCs w:val="19"/>
        </w:rPr>
        <w:t xml:space="preserve">Cue  </w:t>
      </w:r>
      <w:r>
        <w:rPr>
          <w:i/>
          <w:iCs/>
          <w:color w:val="64748B"/>
          <w:sz w:val="21"/>
          <w:szCs w:val="21"/>
        </w:rPr>
        <w:t xml:space="preserve">Transition to the hands-on half. Make sure everyone has the notebook open before you start.</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Session 20 · Text Representation  —  Teaching Transcript        </w:t>
    </w: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4" w:space="4"/>
      </w:pBdr>
      <w:spacing w:after="140" w:before="280"/>
      <w:outlineLvl w:val="0"/>
    </w:pPr>
    <w:rPr>
      <w:rFonts w:ascii="Arial" w:cs="Arial" w:eastAsia="Arial" w:hAnsi="Arial"/>
      <w:b/>
      <w:bCs/>
      <w:color w:val="0F2440"/>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E7F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2026-06-13T09:24:15.978Z</dcterms:created>
  <dcterms:modified xsi:type="dcterms:W3CDTF">2026-06-13T09:24:15.978Z</dcterms:modified>
</cp:coreProperties>
</file>

<file path=docProps/custom.xml><?xml version="1.0" encoding="utf-8"?>
<Properties xmlns="http://schemas.openxmlformats.org/officeDocument/2006/custom-properties" xmlns:vt="http://schemas.openxmlformats.org/officeDocument/2006/docPropsVTypes"/>
</file>