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26CF7" w:rsidRDefault="00000000">
      <w:pPr>
        <w:jc w:val="center"/>
        <w:rPr>
          <w:b/>
          <w:sz w:val="32"/>
          <w:szCs w:val="32"/>
        </w:rPr>
      </w:pPr>
      <w:r>
        <w:rPr>
          <w:b/>
          <w:sz w:val="32"/>
          <w:szCs w:val="32"/>
        </w:rPr>
        <w:t>Analysis of Crowdfunding Campaigns</w:t>
      </w:r>
    </w:p>
    <w:p w14:paraId="00000002" w14:textId="77777777" w:rsidR="00D26CF7" w:rsidRDefault="00D26CF7">
      <w:pPr>
        <w:jc w:val="center"/>
        <w:rPr>
          <w:b/>
          <w:sz w:val="32"/>
          <w:szCs w:val="32"/>
        </w:rPr>
      </w:pPr>
    </w:p>
    <w:p w14:paraId="00000003" w14:textId="77777777" w:rsidR="00D26CF7" w:rsidRDefault="00000000">
      <w:pPr>
        <w:rPr>
          <w:sz w:val="30"/>
          <w:szCs w:val="30"/>
        </w:rPr>
      </w:pPr>
      <w:r>
        <w:rPr>
          <w:sz w:val="30"/>
          <w:szCs w:val="30"/>
        </w:rPr>
        <w:t>Conclusion 1:</w:t>
      </w:r>
    </w:p>
    <w:p w14:paraId="00000004" w14:textId="77777777" w:rsidR="00D26CF7" w:rsidRDefault="00D26CF7">
      <w:pPr>
        <w:rPr>
          <w:sz w:val="30"/>
          <w:szCs w:val="30"/>
        </w:rPr>
      </w:pPr>
    </w:p>
    <w:p w14:paraId="00000005" w14:textId="77777777" w:rsidR="00D26CF7" w:rsidRDefault="00000000">
      <w:pPr>
        <w:jc w:val="both"/>
        <w:rPr>
          <w:sz w:val="26"/>
          <w:szCs w:val="26"/>
        </w:rPr>
      </w:pPr>
      <w:r>
        <w:rPr>
          <w:sz w:val="26"/>
          <w:szCs w:val="26"/>
        </w:rPr>
        <w:t>The theater, film &amp; video categories exhibit consistently high success rates across campaigns. Moreover, the second bar chart shows plays that stand out which is related to theater, although they also experience a larger volume of failed and canceled campaigns. This suggests a significant opportunity, where well-executed campaigns in these categories often succeed, but there remains room for improvement or innovation to reduce failures.</w:t>
      </w:r>
    </w:p>
    <w:p w14:paraId="00000006" w14:textId="77777777" w:rsidR="00D26CF7" w:rsidRDefault="00D26CF7">
      <w:pPr>
        <w:rPr>
          <w:sz w:val="30"/>
          <w:szCs w:val="30"/>
        </w:rPr>
      </w:pPr>
    </w:p>
    <w:p w14:paraId="00000007" w14:textId="77777777" w:rsidR="00D26CF7" w:rsidRDefault="00000000">
      <w:pPr>
        <w:rPr>
          <w:sz w:val="30"/>
          <w:szCs w:val="30"/>
        </w:rPr>
      </w:pPr>
      <w:r>
        <w:rPr>
          <w:sz w:val="30"/>
          <w:szCs w:val="30"/>
        </w:rPr>
        <w:t>Conclusion 2:</w:t>
      </w:r>
    </w:p>
    <w:p w14:paraId="00000008" w14:textId="77777777" w:rsidR="00D26CF7" w:rsidRDefault="00D26CF7">
      <w:pPr>
        <w:rPr>
          <w:sz w:val="30"/>
          <w:szCs w:val="30"/>
        </w:rPr>
      </w:pPr>
    </w:p>
    <w:p w14:paraId="00000009" w14:textId="77777777" w:rsidR="00D26CF7" w:rsidRDefault="00000000">
      <w:pPr>
        <w:jc w:val="both"/>
        <w:rPr>
          <w:sz w:val="30"/>
          <w:szCs w:val="30"/>
        </w:rPr>
      </w:pPr>
      <w:r>
        <w:rPr>
          <w:sz w:val="26"/>
          <w:szCs w:val="26"/>
        </w:rPr>
        <w:t>To mitigate the risk arising from the high failure rates in popular categories such as plays, focusing on enhanced visibility strategies is advisable. Strategies could include leveraging platform features like staff picks or spotlight placements, which can increase a campaign’s reach and engagement effectively.</w:t>
      </w:r>
    </w:p>
    <w:p w14:paraId="0000000A" w14:textId="77777777" w:rsidR="00D26CF7" w:rsidRDefault="00D26CF7">
      <w:pPr>
        <w:rPr>
          <w:sz w:val="30"/>
          <w:szCs w:val="30"/>
        </w:rPr>
      </w:pPr>
    </w:p>
    <w:p w14:paraId="0000000B" w14:textId="77777777" w:rsidR="00D26CF7" w:rsidRDefault="00000000">
      <w:pPr>
        <w:rPr>
          <w:sz w:val="30"/>
          <w:szCs w:val="30"/>
        </w:rPr>
      </w:pPr>
      <w:r>
        <w:rPr>
          <w:sz w:val="30"/>
          <w:szCs w:val="30"/>
        </w:rPr>
        <w:t>Conclusion 3:</w:t>
      </w:r>
    </w:p>
    <w:p w14:paraId="0000000C" w14:textId="77777777" w:rsidR="00D26CF7" w:rsidRDefault="00D26CF7">
      <w:pPr>
        <w:rPr>
          <w:sz w:val="30"/>
          <w:szCs w:val="30"/>
        </w:rPr>
      </w:pPr>
    </w:p>
    <w:p w14:paraId="0000000D" w14:textId="367A634B" w:rsidR="00D26CF7" w:rsidRDefault="00000000">
      <w:pPr>
        <w:jc w:val="both"/>
        <w:rPr>
          <w:sz w:val="26"/>
          <w:szCs w:val="26"/>
        </w:rPr>
      </w:pPr>
      <w:r>
        <w:rPr>
          <w:sz w:val="26"/>
          <w:szCs w:val="26"/>
        </w:rPr>
        <w:t>The line graph analysis over different months demonstrates fluctuating success, faile</w:t>
      </w:r>
      <w:r w:rsidR="004B65CB">
        <w:rPr>
          <w:sz w:val="26"/>
          <w:szCs w:val="26"/>
        </w:rPr>
        <w:t>d</w:t>
      </w:r>
      <w:r>
        <w:rPr>
          <w:sz w:val="26"/>
          <w:szCs w:val="26"/>
        </w:rPr>
        <w:t>, and canceled rates for campaigns in these categories. We can clearly see that July is the peak for success. On the other hand, there is a sudden decrease in August and dramatic growth of failure in this month. By timing campaigns to capitalize on months with historically higher performance, campaigners can potentially increase success rates.</w:t>
      </w:r>
    </w:p>
    <w:p w14:paraId="0000000E" w14:textId="77777777" w:rsidR="00D26CF7" w:rsidRDefault="00D26CF7">
      <w:pPr>
        <w:rPr>
          <w:sz w:val="30"/>
          <w:szCs w:val="30"/>
        </w:rPr>
      </w:pPr>
    </w:p>
    <w:p w14:paraId="0000000F" w14:textId="77777777" w:rsidR="00D26CF7" w:rsidRDefault="00000000">
      <w:pPr>
        <w:rPr>
          <w:sz w:val="30"/>
          <w:szCs w:val="30"/>
        </w:rPr>
      </w:pPr>
      <w:r>
        <w:rPr>
          <w:sz w:val="30"/>
          <w:szCs w:val="30"/>
        </w:rPr>
        <w:t>Limitations:</w:t>
      </w:r>
    </w:p>
    <w:p w14:paraId="00000010" w14:textId="77777777" w:rsidR="00D26CF7" w:rsidRDefault="00D26CF7">
      <w:pPr>
        <w:rPr>
          <w:sz w:val="26"/>
          <w:szCs w:val="26"/>
        </w:rPr>
      </w:pPr>
    </w:p>
    <w:p w14:paraId="00000011" w14:textId="77777777" w:rsidR="00D26CF7" w:rsidRDefault="00000000">
      <w:pPr>
        <w:numPr>
          <w:ilvl w:val="0"/>
          <w:numId w:val="1"/>
        </w:numPr>
        <w:jc w:val="both"/>
        <w:rPr>
          <w:sz w:val="26"/>
          <w:szCs w:val="26"/>
        </w:rPr>
      </w:pPr>
      <w:r>
        <w:rPr>
          <w:sz w:val="26"/>
          <w:szCs w:val="26"/>
        </w:rPr>
        <w:t>The dataset may not be representative of all types of crowdfunding platforms or the diversity of projects if it is primarily sourced from a single platform or industry sector.</w:t>
      </w:r>
    </w:p>
    <w:p w14:paraId="00000012" w14:textId="77777777" w:rsidR="00D26CF7" w:rsidRDefault="00D26CF7">
      <w:pPr>
        <w:jc w:val="both"/>
        <w:rPr>
          <w:sz w:val="26"/>
          <w:szCs w:val="26"/>
        </w:rPr>
      </w:pPr>
    </w:p>
    <w:p w14:paraId="00000013" w14:textId="77777777" w:rsidR="00D26CF7" w:rsidRDefault="00000000">
      <w:pPr>
        <w:numPr>
          <w:ilvl w:val="0"/>
          <w:numId w:val="1"/>
        </w:numPr>
        <w:jc w:val="both"/>
        <w:rPr>
          <w:sz w:val="26"/>
          <w:szCs w:val="26"/>
        </w:rPr>
      </w:pPr>
      <w:r>
        <w:rPr>
          <w:sz w:val="26"/>
          <w:szCs w:val="26"/>
        </w:rPr>
        <w:t>If the data is outdated, trends and strategies that were effective at the time might not reflect the current market conditions or platform enhancements.</w:t>
      </w:r>
    </w:p>
    <w:p w14:paraId="00000014" w14:textId="77777777" w:rsidR="00D26CF7" w:rsidRDefault="00D26CF7">
      <w:pPr>
        <w:ind w:left="720"/>
        <w:jc w:val="both"/>
        <w:rPr>
          <w:sz w:val="26"/>
          <w:szCs w:val="26"/>
        </w:rPr>
      </w:pPr>
    </w:p>
    <w:p w14:paraId="00000015" w14:textId="77777777" w:rsidR="00D26CF7" w:rsidRDefault="00000000">
      <w:pPr>
        <w:numPr>
          <w:ilvl w:val="0"/>
          <w:numId w:val="1"/>
        </w:numPr>
        <w:jc w:val="both"/>
        <w:rPr>
          <w:sz w:val="26"/>
          <w:szCs w:val="26"/>
        </w:rPr>
      </w:pPr>
      <w:r>
        <w:rPr>
          <w:sz w:val="26"/>
          <w:szCs w:val="26"/>
        </w:rPr>
        <w:t>Incomplete records or inconsistent data formatting could affect the accuracy and reliability of analysis results.</w:t>
      </w:r>
    </w:p>
    <w:p w14:paraId="00000016" w14:textId="77777777" w:rsidR="00D26CF7" w:rsidRDefault="00D26CF7">
      <w:pPr>
        <w:ind w:left="720"/>
        <w:jc w:val="both"/>
        <w:rPr>
          <w:sz w:val="26"/>
          <w:szCs w:val="26"/>
        </w:rPr>
      </w:pPr>
    </w:p>
    <w:p w14:paraId="00000017" w14:textId="77777777" w:rsidR="00D26CF7" w:rsidRDefault="00D26CF7">
      <w:pPr>
        <w:ind w:left="720"/>
        <w:jc w:val="both"/>
        <w:rPr>
          <w:sz w:val="26"/>
          <w:szCs w:val="26"/>
        </w:rPr>
      </w:pPr>
    </w:p>
    <w:p w14:paraId="00000018" w14:textId="77777777" w:rsidR="00D26CF7" w:rsidRDefault="00000000">
      <w:pPr>
        <w:jc w:val="both"/>
        <w:rPr>
          <w:sz w:val="30"/>
          <w:szCs w:val="30"/>
        </w:rPr>
      </w:pPr>
      <w:r>
        <w:rPr>
          <w:sz w:val="30"/>
          <w:szCs w:val="30"/>
        </w:rPr>
        <w:t>Suggested Tables and Graphs:</w:t>
      </w:r>
    </w:p>
    <w:p w14:paraId="00000019" w14:textId="77777777" w:rsidR="00D26CF7" w:rsidRDefault="00D26CF7">
      <w:pPr>
        <w:jc w:val="both"/>
        <w:rPr>
          <w:sz w:val="30"/>
          <w:szCs w:val="30"/>
        </w:rPr>
      </w:pPr>
    </w:p>
    <w:p w14:paraId="0000001A" w14:textId="77777777" w:rsidR="00D26CF7" w:rsidRDefault="00000000">
      <w:pPr>
        <w:numPr>
          <w:ilvl w:val="0"/>
          <w:numId w:val="2"/>
        </w:numPr>
        <w:jc w:val="both"/>
        <w:rPr>
          <w:sz w:val="26"/>
          <w:szCs w:val="26"/>
        </w:rPr>
      </w:pPr>
      <w:r>
        <w:rPr>
          <w:sz w:val="26"/>
          <w:szCs w:val="26"/>
        </w:rPr>
        <w:t>Scatter Plot of Goal Amount vs. Amount Raised: Such a visualization would highlight the correlation between campaign goals and actual funds raised, helping identify optimal goal setting.</w:t>
      </w:r>
    </w:p>
    <w:p w14:paraId="0000001B" w14:textId="77777777" w:rsidR="00D26CF7" w:rsidRDefault="00D26CF7">
      <w:pPr>
        <w:jc w:val="both"/>
        <w:rPr>
          <w:sz w:val="26"/>
          <w:szCs w:val="26"/>
        </w:rPr>
      </w:pPr>
    </w:p>
    <w:p w14:paraId="0000001C" w14:textId="77777777" w:rsidR="00D26CF7" w:rsidRDefault="00000000">
      <w:pPr>
        <w:numPr>
          <w:ilvl w:val="0"/>
          <w:numId w:val="2"/>
        </w:numPr>
        <w:jc w:val="both"/>
        <w:rPr>
          <w:sz w:val="26"/>
          <w:szCs w:val="26"/>
        </w:rPr>
      </w:pPr>
      <w:r>
        <w:rPr>
          <w:sz w:val="26"/>
          <w:szCs w:val="26"/>
        </w:rPr>
        <w:t>Pie Chart of Campaign Genres: Represents the distribution of types or genres of campaigns, providing insights into the popularity and variety of crowdfunding projects.</w:t>
      </w:r>
    </w:p>
    <w:p w14:paraId="0000001D" w14:textId="77777777" w:rsidR="00D26CF7" w:rsidRDefault="00D26CF7">
      <w:pPr>
        <w:jc w:val="both"/>
        <w:rPr>
          <w:sz w:val="26"/>
          <w:szCs w:val="26"/>
        </w:rPr>
      </w:pPr>
    </w:p>
    <w:p w14:paraId="0000001E" w14:textId="77777777" w:rsidR="00D26CF7" w:rsidRDefault="00000000">
      <w:pPr>
        <w:numPr>
          <w:ilvl w:val="0"/>
          <w:numId w:val="2"/>
        </w:numPr>
        <w:jc w:val="both"/>
        <w:rPr>
          <w:sz w:val="26"/>
          <w:szCs w:val="26"/>
        </w:rPr>
      </w:pPr>
      <w:r>
        <w:rPr>
          <w:sz w:val="26"/>
          <w:szCs w:val="26"/>
        </w:rPr>
        <w:t>Histogram of Backer Pledges: Demonstrates the distribution of pledge amounts per backer, identifying common funding levels and strategies to maximize individual backer contributions.</w:t>
      </w:r>
    </w:p>
    <w:p w14:paraId="0000001F" w14:textId="77777777" w:rsidR="00D26CF7" w:rsidRDefault="00D26CF7">
      <w:pPr>
        <w:jc w:val="both"/>
        <w:rPr>
          <w:sz w:val="26"/>
          <w:szCs w:val="26"/>
        </w:rPr>
      </w:pPr>
    </w:p>
    <w:p w14:paraId="00000020" w14:textId="77777777" w:rsidR="00D26CF7" w:rsidRDefault="00D26CF7">
      <w:pPr>
        <w:jc w:val="both"/>
        <w:rPr>
          <w:sz w:val="26"/>
          <w:szCs w:val="26"/>
        </w:rPr>
      </w:pPr>
    </w:p>
    <w:p w14:paraId="00000021" w14:textId="77777777" w:rsidR="00D26CF7" w:rsidRDefault="00D26CF7">
      <w:pPr>
        <w:jc w:val="both"/>
        <w:rPr>
          <w:sz w:val="26"/>
          <w:szCs w:val="26"/>
        </w:rPr>
      </w:pPr>
    </w:p>
    <w:p w14:paraId="00000022" w14:textId="77777777" w:rsidR="00D26CF7" w:rsidRDefault="00D26CF7">
      <w:pPr>
        <w:jc w:val="both"/>
        <w:rPr>
          <w:sz w:val="26"/>
          <w:szCs w:val="26"/>
        </w:rPr>
      </w:pPr>
    </w:p>
    <w:p w14:paraId="00000023" w14:textId="77777777" w:rsidR="00D26CF7" w:rsidRDefault="00D26CF7">
      <w:pPr>
        <w:jc w:val="both"/>
        <w:rPr>
          <w:sz w:val="30"/>
          <w:szCs w:val="30"/>
        </w:rPr>
      </w:pPr>
    </w:p>
    <w:p w14:paraId="00000024" w14:textId="77777777" w:rsidR="00D26CF7" w:rsidRDefault="00D26CF7">
      <w:pPr>
        <w:jc w:val="both"/>
        <w:rPr>
          <w:sz w:val="26"/>
          <w:szCs w:val="26"/>
        </w:rPr>
      </w:pPr>
    </w:p>
    <w:p w14:paraId="00000025" w14:textId="77777777" w:rsidR="00D26CF7" w:rsidRDefault="00D26CF7">
      <w:pPr>
        <w:rPr>
          <w:sz w:val="26"/>
          <w:szCs w:val="26"/>
        </w:rPr>
      </w:pPr>
    </w:p>
    <w:p w14:paraId="00000026" w14:textId="77777777" w:rsidR="00D26CF7" w:rsidRDefault="00D26CF7">
      <w:pPr>
        <w:rPr>
          <w:sz w:val="30"/>
          <w:szCs w:val="30"/>
        </w:rPr>
      </w:pPr>
    </w:p>
    <w:p w14:paraId="00000027" w14:textId="77777777" w:rsidR="00D26CF7" w:rsidRDefault="00D26CF7">
      <w:pPr>
        <w:rPr>
          <w:b/>
          <w:sz w:val="32"/>
          <w:szCs w:val="32"/>
        </w:rPr>
      </w:pPr>
    </w:p>
    <w:p w14:paraId="00000028" w14:textId="77777777" w:rsidR="00D26CF7" w:rsidRDefault="00D26CF7">
      <w:pPr>
        <w:jc w:val="center"/>
      </w:pPr>
    </w:p>
    <w:sectPr w:rsidR="00D26C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B61DB"/>
    <w:multiLevelType w:val="multilevel"/>
    <w:tmpl w:val="B4BE6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D644B28"/>
    <w:multiLevelType w:val="multilevel"/>
    <w:tmpl w:val="05001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3420741">
    <w:abstractNumId w:val="1"/>
  </w:num>
  <w:num w:numId="2" w16cid:durableId="773481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F7"/>
    <w:rsid w:val="004B65CB"/>
    <w:rsid w:val="00796DB9"/>
    <w:rsid w:val="00D26CF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2F650D47"/>
  <w15:docId w15:val="{E81590B4-7EA0-2743-8114-8233F8EB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Shahab Eshghifard</cp:lastModifiedBy>
  <cp:revision>2</cp:revision>
  <dcterms:created xsi:type="dcterms:W3CDTF">2024-12-19T01:18:00Z</dcterms:created>
  <dcterms:modified xsi:type="dcterms:W3CDTF">2024-12-19T01:26:00Z</dcterms:modified>
</cp:coreProperties>
</file>