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rPr>
          <w:rFonts w:ascii="Roboto" w:cs="Roboto" w:eastAsia="Roboto" w:hAnsi="Roboto"/>
        </w:rPr>
      </w:pPr>
      <w:bookmarkStart w:colFirst="0" w:colLast="0" w:name="_e10asva9acf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EXSM 3929: Digital Accessibility </w:t>
        <w:br w:type="textWrapping"/>
        <w:t xml:space="preserve">M7 Weekly Response</w:t>
      </w:r>
    </w:p>
    <w:p w:rsidR="00000000" w:rsidDel="00000000" w:rsidP="00000000" w:rsidRDefault="00000000" w:rsidRPr="00000000" w14:paraId="00000002">
      <w:pPr>
        <w:pStyle w:val="Subtitle"/>
        <w:spacing w:before="200" w:line="276" w:lineRule="auto"/>
        <w:rPr>
          <w:rFonts w:ascii="Roboto" w:cs="Roboto" w:eastAsia="Roboto" w:hAnsi="Roboto"/>
        </w:rPr>
      </w:pPr>
      <w:bookmarkStart w:colFirst="0" w:colLast="0" w:name="_6yfviet2f89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CCID: ccid, last name, first name</w:t>
        <w:br w:type="textWrapping"/>
        <w:t xml:space="preserve">Due: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Jun 10,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/>
      </w:pPr>
      <w:bookmarkStart w:colFirst="0" w:colLast="0" w:name="_hpvkmmrzdeck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</w:t>
      </w:r>
      <w:r w:rsidDel="00000000" w:rsidR="00000000" w:rsidRPr="00000000">
        <w:rPr>
          <w:b w:val="1"/>
          <w:highlight w:val="yellow"/>
          <w:rtl w:val="0"/>
        </w:rPr>
        <w:t xml:space="preserve">copy</w:t>
      </w:r>
      <w:r w:rsidDel="00000000" w:rsidR="00000000" w:rsidRPr="00000000">
        <w:rPr>
          <w:highlight w:val="yellow"/>
          <w:rtl w:val="0"/>
        </w:rPr>
        <w:t xml:space="preserve"> of this document, </w:t>
      </w:r>
      <w:r w:rsidDel="00000000" w:rsidR="00000000" w:rsidRPr="00000000">
        <w:rPr>
          <w:b w:val="1"/>
          <w:highlight w:val="yellow"/>
          <w:rtl w:val="0"/>
        </w:rPr>
        <w:t xml:space="preserve">edit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export</w:t>
      </w:r>
      <w:r w:rsidDel="00000000" w:rsidR="00000000" w:rsidRPr="00000000">
        <w:rPr>
          <w:highlight w:val="yellow"/>
          <w:rtl w:val="0"/>
        </w:rPr>
        <w:t xml:space="preserve"> as a </w:t>
      </w:r>
      <w:r w:rsidDel="00000000" w:rsidR="00000000" w:rsidRPr="00000000">
        <w:rPr>
          <w:b w:val="1"/>
          <w:highlight w:val="yellow"/>
          <w:rtl w:val="0"/>
        </w:rPr>
        <w:t xml:space="preserve">PDF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b w:val="1"/>
          <w:highlight w:val="yellow"/>
          <w:rtl w:val="0"/>
        </w:rPr>
        <w:t xml:space="preserve">submit</w:t>
      </w:r>
      <w:r w:rsidDel="00000000" w:rsidR="00000000" w:rsidRPr="00000000">
        <w:rPr>
          <w:highlight w:val="yellow"/>
          <w:rtl w:val="0"/>
        </w:rPr>
        <w:t xml:space="preserve"> on </w:t>
      </w:r>
      <w:r w:rsidDel="00000000" w:rsidR="00000000" w:rsidRPr="00000000">
        <w:rPr>
          <w:b w:val="1"/>
          <w:highlight w:val="yellow"/>
          <w:rtl w:val="0"/>
        </w:rPr>
        <w:t xml:space="preserve">eClass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response documents are </w:t>
      </w:r>
      <w:r w:rsidDel="00000000" w:rsidR="00000000" w:rsidRPr="00000000">
        <w:rPr>
          <w:b w:val="1"/>
          <w:rtl w:val="0"/>
        </w:rPr>
        <w:t xml:space="preserve">to be completed by Saturday evening (11:59pm)</w:t>
      </w:r>
      <w:r w:rsidDel="00000000" w:rsidR="00000000" w:rsidRPr="00000000">
        <w:rPr>
          <w:rtl w:val="0"/>
        </w:rPr>
        <w:t xml:space="preserve">. Each response document follows the same format; there are </w:t>
      </w:r>
      <w:r w:rsidDel="00000000" w:rsidR="00000000" w:rsidRPr="00000000">
        <w:rPr>
          <w:b w:val="1"/>
          <w:rtl w:val="0"/>
        </w:rPr>
        <w:t xml:space="preserve">four web resources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three talking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is to help prepare you for our discussions on Tuesday evenings. To receive full marks visit each web resource, respond to the prompts, and submit on eClass.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will be marked out of </w:t>
      </w:r>
      <w:r w:rsidDel="00000000" w:rsidR="00000000" w:rsidRPr="00000000">
        <w:rPr>
          <w:b w:val="1"/>
          <w:rtl w:val="0"/>
        </w:rPr>
        <w:t xml:space="preserve">ten points</w:t>
      </w:r>
      <w:r w:rsidDel="00000000" w:rsidR="00000000" w:rsidRPr="00000000">
        <w:rPr>
          <w:rtl w:val="0"/>
        </w:rPr>
        <w:t xml:space="preserve"> based on the following criteria: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1440"/>
        <w:gridCol w:w="1440"/>
        <w:tblGridChange w:id="0">
          <w:tblGrid>
            <w:gridCol w:w="648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submitted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with 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ccid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talking points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to the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="276" w:lineRule="auto"/>
        <w:rPr/>
      </w:pPr>
      <w:bookmarkStart w:colFirst="0" w:colLast="0" w:name="_57ves16by5h0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submissions are received at a </w:t>
      </w:r>
      <w:r w:rsidDel="00000000" w:rsidR="00000000" w:rsidRPr="00000000">
        <w:rPr>
          <w:b w:val="1"/>
          <w:rtl w:val="0"/>
        </w:rPr>
        <w:t xml:space="preserve">reduced value</w:t>
      </w:r>
      <w:r w:rsidDel="00000000" w:rsidR="00000000" w:rsidRPr="00000000">
        <w:rPr>
          <w:rtl w:val="0"/>
        </w:rPr>
        <w:t xml:space="preserve">, see eClass for details.</w:t>
      </w:r>
    </w:p>
    <w:p w:rsidR="00000000" w:rsidDel="00000000" w:rsidP="00000000" w:rsidRDefault="00000000" w:rsidRPr="00000000" w14:paraId="00000015">
      <w:pPr>
        <w:spacing w:after="240" w:befor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keep this cover page</w:t>
      </w:r>
      <w:r w:rsidDel="00000000" w:rsidR="00000000" w:rsidRPr="00000000">
        <w:rPr>
          <w:rtl w:val="0"/>
        </w:rPr>
        <w:t xml:space="preserve">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="276" w:lineRule="auto"/>
        <w:rPr>
          <w:rFonts w:ascii="Roboto" w:cs="Roboto" w:eastAsia="Roboto" w:hAnsi="Roboto"/>
        </w:rPr>
      </w:pPr>
      <w:bookmarkStart w:colFirst="0" w:colLast="0" w:name="_axl6v91wsrz6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Weekly Response</w:t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uw3daqnylp8g" w:id="5"/>
      <w:bookmarkEnd w:id="5"/>
      <w:r w:rsidDel="00000000" w:rsidR="00000000" w:rsidRPr="00000000">
        <w:rPr>
          <w:rtl w:val="0"/>
        </w:rPr>
        <w:t xml:space="preserve">How to do a UX accessibility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https://makeitclear.com/insight/how-to-do-a-ux-accessibility-evaluation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Which of the four principles (perceivable, operable, understandable, robust) should the designer focus most effort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Are any principles outside of a designer’s responsibility?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Should manual accessibility testing always be completed?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wux7h6cu3o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h35agyvakqii" w:id="7"/>
      <w:bookmarkEnd w:id="7"/>
      <w:r w:rsidDel="00000000" w:rsidR="00000000" w:rsidRPr="00000000">
        <w:rPr>
          <w:rtl w:val="0"/>
        </w:rPr>
        <w:t xml:space="preserve">Prioritizing Remediation of Web Accessibility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https://karlgroves.com/2011/06/12/prioritizing-remediation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do you consider to be the highest priority when evaluating a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Should you consult with a developer about prioritizing accessibility issues?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would you recommend accessibility improvements if it requires a major overhaul of the user interface?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orvdo7zaj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f7am74wt06j8" w:id="9"/>
      <w:bookmarkEnd w:id="9"/>
      <w:r w:rsidDel="00000000" w:rsidR="00000000" w:rsidRPr="00000000">
        <w:rPr>
          <w:rtl w:val="0"/>
        </w:rPr>
        <w:t xml:space="preserve">Template for Accessibility Evaluation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https://www.w3.org/WAI/test-evaluate/report-template/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Is it necessary for user experience and user interface designers to become experts in digital accessibility?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Who should be involved with creating an accessibility evaluation report?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As a designer how could you contribute to the accessibility evaluation report?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2l4g89iuzl1k" w:id="10"/>
      <w:bookmarkEnd w:id="10"/>
      <w:r w:rsidDel="00000000" w:rsidR="00000000" w:rsidRPr="00000000">
        <w:rPr>
          <w:rtl w:val="0"/>
        </w:rPr>
        <w:t xml:space="preserve">Developing an Accessibility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https://www.w3.org/WAI/planning/statements/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is an accessibility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Why is it important to provide an accessibility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Who should be responsible for creating an accessibility statement?</w:t>
      </w:r>
    </w:p>
    <w:p w:rsidR="00000000" w:rsidDel="00000000" w:rsidP="00000000" w:rsidRDefault="00000000" w:rsidRPr="00000000" w14:paraId="00000030">
      <w:pPr>
        <w:spacing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power.org/assistive-tech/at-success-stories" TargetMode="External"/><Relationship Id="rId10" Type="http://schemas.openxmlformats.org/officeDocument/2006/relationships/hyperlink" Target="https://www.w3.org/WAI/test-evaluate/report-template/" TargetMode="External"/><Relationship Id="rId12" Type="http://schemas.openxmlformats.org/officeDocument/2006/relationships/hyperlink" Target="https://www.w3.org/WAI/planning/statements/" TargetMode="External"/><Relationship Id="rId9" Type="http://schemas.openxmlformats.org/officeDocument/2006/relationships/hyperlink" Target="https://www.copower.org/assistive-tech/at-success-s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itclear.com/insight/how-to-do-a-ux-accessibility-evaluation" TargetMode="External"/><Relationship Id="rId7" Type="http://schemas.openxmlformats.org/officeDocument/2006/relationships/hyperlink" Target="https://www.copower.org/assistive-tech/at-success-stories" TargetMode="External"/><Relationship Id="rId8" Type="http://schemas.openxmlformats.org/officeDocument/2006/relationships/hyperlink" Target="https://karlgroves.com/2011/06/12/prioritizing-remedi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