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On the earth’s surface, the forest covers essentially any natural resources such as wood or solar energy that can be replenished naturally with time which can be a balanced ecosystem (Sahana et al., 2015). During the past decades, the influence of the anthropic, physical force on the territories and comprehend the greater portion of these surfaces has continuously elevated in the preserved habitations (Assessment of the Forest Health Through Remote Sensing Techniques in Valea Roșie Natura 2000 Site, Bihor County, Romania.Pdf, n.d.). The consequence of the anthropogenic pressure which occurs naturally is the fragmentations of the maximum habitat (Fahrig 2003). However, the premier motive for anthropogenic habitat fragmentation is becoming the greater amount of growing population and requiring more land surface for habitation, agriculture, expansion of urban habitat, increasing roads, railways formation, and industrial conduct (Carroll et al. 2004; Radelof et al. 2005; Donald and Evans 2006). In the natural forest area, there is mainly necessary sustainable management for the mapping, quantifying, and monitoring the alternative of natural features that are significant in the forest cover (Nemani et al. 1996; Vuolo et al. 2011). The hydrological cycle or surface force equilibrium contributes in an energetic way to regulate the biosphere across the forested ecosystems (Rogan et al. 2002; Huete et al. 2011). A large portion of forests is fragmented in the developed countries and on the other side this tendency of fragmentation the forest area growing in the dreadful ration in other developing countries (Talukdar et al., 2019). Leopold (1949) was first defined forest health grows as a natural consequence of this reality; besides this evaluation, checking the progress of the condition and quantify of forest ecosystems over time that can be provided in the studies a general allowable base (Assessment of the Forest Health Through Remote Sensing Techniques in Valea Roșie Natura 2000 Site, Bihor County, Romania.Pdf, n.d.). The originating of forest conditions that are dependent on nature and humans is mainly defined the forest health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10.1016/j.ecolind.2019.105471","ISSN":"1470-160X","author":[{"dropping-particle":"","family":"Kayet","given":"Narayan","non-dropping-particle":"","parse-names":false,"suffix":""},{"dropping-particle":"","family":"Pathak","given":"Khanindra","non-dropping-particle":"","parse-names":false,"suffix":""},{"dropping-particle":"","family":"Chakrabarty","given":"Abhisek","non-dropping-particle":"","parse-names":false,"suffix":""},{"dropping-particle":"","family":"Singh","given":"C P","non-dropping-particle":"","parse-names":false,"suffix":""},{"dropping-particle":"","family":"Chowdary","given":"V M","non-dropping-particle":"","parse-names":false,"suffix":""}],"container-title":"Ecological Indicators","id":"ITEM-1","issue":"June","issued":{"date-parts":[["2019"]]},"page":"105471","publisher":"Elsevier","title":"Forest health assessment for geo-environmental planning and management in hilltop mining areas using Hyperion and Landsat data","type":"article-journal","volume":"106"},"uris":["http://www.mendeley.com/documents/?uuid=e4297101-866c-4b70-b575-09bc88fab7c9"]}],"mendeley":{"formattedCitation":"(Kayet et al., 2019)","plainTextFormattedCitation":"(Kayet et al., 2019)","previouslyFormattedCitation":"(Kayet et al., 2019)"},"properties":{"noteIndex":0},"schema":"https://github.com/citation-style-language/schema/raw/master/csl-citation.json"}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(Kayet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The ecological situations in a territory could be a significant demonstrator of forest health (Jaiswal et al. 2002; Tiner 2004). The important appraisement of the elements in forest health is the management of the manufacturing of wood and evaluating the changes in ecological function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{"citationItems":[{"id":"ITEM-1","itemData":{"author":[{"dropping-particle":"","family":"King","given":"I Olthof D J","non-dropping-particle":"","parse-names":false,"suffix":""}],"id":"ITEM-1","issued":{"date-parts":[["2000"]]},"title":"Development of a Forest Health Index Using Multispectral Airborne Digital Camera Imagery","type":"article-journal"},"uris":["http://www.mendeley.com/documents/?uuid=66d404a0-5f4f-485b-abc7-5aee1bd86574"]}],"mendeley":{"formattedCitation":"(King, 2000)","plainTextFormattedCitation":"(King, 2000)","previouslyFormattedCitation":"(King, 2000)"},"properties":{"noteIndex":0},"schema":"https://github.com/citation-style-language/schema/raw/master/csl-citation.json"}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(King, 2000)</w:t>
      </w:r>
      <w:r>
        <w:rPr>
          <w:rFonts w:ascii="Times New Roman" w:hAnsi="Times New Roman" w:cs="Times New Roman"/>
          <w:sz w:val="24"/>
          <w:szCs w:val="24"/>
        </w:rPr>
        <w:fldChar w:fldCharType="end"/>
      </w:r>
      <w:r>
        <w:rPr>
          <w:rFonts w:ascii="Times New Roman" w:hAnsi="Times New Roman" w:cs="Times New Roman"/>
          <w:sz w:val="24"/>
          <w:szCs w:val="24"/>
        </w:rPr>
        <w:t xml:space="preserve">. The spatial contribution of forest trees or the trees canopy is also focused on forest health (Lévesque and King, 2003). Forest health has also concerned with resilience, assiduous, and the biophysical procedure that leads the sustainable ecological situation from the ecosystem-centered aspects (Johnson et al., 2009). Various types of testimony in the forest environment on the value of enhancement, stocking of balance, fuels, variety, and age. Further, the reduction of the change not only the temperature but also carbon dioxide dominant on the forest health consequences (Ciesla, 2000). Forest persecution rises higher in the cooler season for the reason the temperature becomes higher in the warmer season. Not only the increment in temperature is liable but also some invasive species are also harmful for the forest health degradation (Moore and Allard, 2008). Regulating deforestation for the policy and management determination in prominence of spatial patterns and generalize the connected ways in forest region (Fuller 2006). Levels of complication in the forest health conditions nowadays are evaluated in forming a uniform entity to adjacent execution of the structures and circulation compacted in hierarchical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{"citationItems":[{"id":"ITEM-1","itemData":{"id":"ITEM-1","issued":{"date-parts":[["0"]]},"title":"Assessment of the Forest Health Through Remote Sensing Techniques in Valea Roșie Natura 2000 Site, Bihor County, Romania.pdf","type":"article"},"uris":["http://www.mendeley.com/documents/?uuid=f39b1ad0-18d2-4926-bc59-2c4476c63a31"]}],"mendeley":{"formattedCitation":"(&lt;i&gt;Assessment of the Forest Health Through Remote Sensing Techniques in Valea Roșie Natura 2000 Site, Bihor County, Romania.Pdf&lt;/i&gt;, n.d.)","plainTextFormattedCitation":"(Assessment of the Forest Health Through Remote Sensing Techniques in Valea Roșie Natura 2000 Site, Bihor County, Romania.Pdf, n.d.)","previouslyFormattedCitation":"(&lt;i&gt;Assessment of the Forest Health Through Remote Sensing Techniques in Valea Roșie Natura 2000 Site, Bihor County, Romania.Pdf&lt;/i&gt;,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(Assessment of the Forest Health Through Remote Sensing Techniques in Valea Roșie Natura 2000 Site, Bihor County, Romania.Pdf, n.d.)</w:t>
      </w:r>
      <w:r>
        <w:rPr>
          <w:rFonts w:ascii="Times New Roman" w:hAnsi="Times New Roman" w:cs="Times New Roman"/>
          <w:sz w:val="24"/>
          <w:szCs w:val="24"/>
        </w:rPr>
        <w:fldChar w:fldCharType="end"/>
      </w:r>
      <w:r>
        <w:rPr>
          <w:rFonts w:ascii="Times New Roman" w:hAnsi="Times New Roman" w:cs="Times New Roman"/>
          <w:sz w:val="24"/>
          <w:szCs w:val="24"/>
        </w:rPr>
        <w:t xml:space="preserve">. Mainly the causes of forest loss for the deforestation of adamant in agricultural or the manufacture of timber (Contreras-Hermosilla 2 000; Young and Clarke 2 000).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kern w:val="0"/>
          <w:sz w:val="24"/>
          <w:szCs w:val="24"/>
          <w:lang w:val="en-US" w:eastAsia="zh-CN" w:bidi="ar"/>
        </w:rPr>
        <w:t>Literature Review:</w:t>
      </w:r>
    </w:p>
    <w:p>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The significance of vegetation in sustaining the ecological biota and preserving environmental equilibrium is critical. As a result, evaluating vegetation status entails examining ecological dynamism, sufficient soil nutrients, and plant health, as well as effective coping methods and management approaches that can aid in reducing risks and sustaining forest health (Lausch et al. 2017). Forest health is monitored utilizing Sentinel 2A data sets in the pre-rainy and post-rainy seasons, as well as changes in chlorophyll content and their relationship to forest health (Gupta &amp; Pandey, 2021). Based on spectral data, the supervised classification method was applied to classify forest health, yielding a healthy forest section area and an unhealthy segment alongside the mines (Nandi &amp; Sarkar, 2021). For forest health monitoring, high-resolution satellite imaging such as Lidar and aerial videography is used (Ciesla 2000). Various researchers have used a variety of methodologies to assess forest health (Cammarano et al. 2014; Yengohet al. 2015; Jain et al. 2016; Xue and Su 2017; Acharya et al. 2018). Models of forest canopy density and fragmentation for measuring forest health and Several studies have shown that using the Landsat TM data processing guide for forest canopy density mapping and analysis, the forest canopy density model can be effective for analyzing forest deterioration </w:t>
      </w:r>
      <w:r>
        <w:rPr>
          <w:rFonts w:hint="default" w:ascii="Times New Roman" w:hAnsi="Times New Roman" w:eastAsia="Times New Roman" w:cs="Times New Roman"/>
          <w:color w:val="000000"/>
          <w:kern w:val="0"/>
          <w:sz w:val="24"/>
          <w:szCs w:val="24"/>
          <w:lang w:val="en-US" w:eastAsia="zh-CN" w:bidi="ar"/>
        </w:rPr>
        <w:fldChar w:fldCharType="begin" w:fldLock="1"/>
      </w:r>
      <w:r>
        <w:rPr>
          <w:rFonts w:hint="default" w:ascii="Times New Roman" w:hAnsi="Times New Roman" w:eastAsia="Times New Roman" w:cs="Times New Roman"/>
          <w:color w:val="000000"/>
          <w:kern w:val="0"/>
          <w:sz w:val="24"/>
          <w:szCs w:val="24"/>
          <w:lang w:val="en-US" w:eastAsia="zh-CN" w:bidi="ar"/>
        </w:rPr>
        <w:instrText xml:space="preserve">ADDIN CSL_CITATION {"citationItems":[{"id":"ITEM-1","itemData":{"DOI":"10.1007/978-3-030-56542-8_21","ISBN":"9783030565411","ISSN":"18635539","abstract":"Among the 22 blocks of the Bankura district, the Jaypur block occupies first position (5.81%, 2011) in the household industry sector which is also higher than district average (4.18%, 2011) and as well as the national average (3.81%, 2011). In this block, Sal leaf, Khat Bel and Churung Khati are the most economically important products among the available Non-Timber Forest Products (NTFPs) and these are primarily used as raw materials in women dominated cottage industries for making of Sal plate and beads chain. The rural people of the Jaypur block have collected NTFPs such as Sal leaf and seed, Khat Bel, Churung Khati, Mushroom, fruits of Kendu and Mahul etc. from the nearest reserve forest area for income generation and fulfilling the demand of their household food. The main objective of this study is to explore the role of NTFPs based household industries in rural economy at micro-level. To fulfil this objective, primary data are mainly used and these are collected through purposive sampling method with the help of questionnaire survey, participatory observation and focused group discussion. The study reveals that women from the Scheduled Caste and Muslim communities are dominantly engaged within these industries with traditional tools, primitive technology and middle man based marketing system and contributed in household maintenance by sharing their income to remove the poverty and sustain their livelihood. Hence, implementation of micro-level planning with the co-ordination of local people and the administration would be effective to increase the economic return to the villagers in general and rural women in particular.","author":[{"dropping-particle":"","family":"Nandi","given":"Debmita","non-dropping-particle":"","parse-names":false,"suffix":""},{"dropping-particle":"","family":"Sarkar","given":"Sumana","non-dropping-particle":"","parse-names":false,"suffix":""}],"container-title":"Environmental Science and Engineering","id":"ITEM-1","issued":{"date-parts":[["2021"]]},"number-of-pages":"505-528","title":"Non-timber forest products based household industries and rural economy—a case study of jaypur block in bankura district, west bengal (india)","type":"book"},"uris":["http://www.mendeley.com/documents/?uuid=2456beb2-71c0-46fb-989d-2fb831858be5"]}],"mendeley":{"formattedCitation":"(Nandi &amp; Sarkar, 2021)","plainTextFormattedCitation":"(Nandi &amp; Sarkar, 2021)","previouslyFormattedCitation":"(Nandi &amp; Sarkar, 2021)"},"properties":{"noteIndex":0},"schema":"https://github.com/citation-style-language/schema/raw/master/csl-citation.json"}</w:instrText>
      </w:r>
      <w:r>
        <w:rPr>
          <w:rFonts w:hint="default" w:ascii="Times New Roman" w:hAnsi="Times New Roman" w:eastAsia="Times New Roman" w:cs="Times New Roman"/>
          <w:color w:val="000000"/>
          <w:kern w:val="0"/>
          <w:sz w:val="24"/>
          <w:szCs w:val="24"/>
          <w:lang w:val="en-US" w:eastAsia="zh-CN" w:bidi="ar"/>
        </w:rPr>
        <w:fldChar w:fldCharType="separate"/>
      </w:r>
      <w:r>
        <w:rPr>
          <w:rFonts w:hint="default" w:ascii="Times New Roman" w:hAnsi="Times New Roman" w:eastAsia="Times New Roman" w:cs="Times New Roman"/>
          <w:color w:val="000000"/>
          <w:kern w:val="0"/>
          <w:sz w:val="24"/>
          <w:szCs w:val="24"/>
          <w:lang w:val="en-US" w:eastAsia="zh-CN" w:bidi="ar"/>
        </w:rPr>
        <w:t>(Nandi &amp; Sarkar, 2021)</w:t>
      </w:r>
      <w:r>
        <w:rPr>
          <w:rFonts w:hint="default" w:ascii="Times New Roman" w:hAnsi="Times New Roman" w:eastAsia="Times New Roman" w:cs="Times New Roman"/>
          <w:color w:val="000000"/>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 xml:space="preserve">. </w:t>
      </w:r>
    </w:p>
    <w:p>
      <w:pPr>
        <w:keepNext w:val="0"/>
        <w:keepLines w:val="0"/>
        <w:widowControl/>
        <w:suppressLineNumbers w:val="0"/>
        <w:spacing w:before="0" w:beforeAutospacing="0" w:after="160" w:afterAutospacing="0" w:line="360" w:lineRule="auto"/>
        <w:ind w:left="0" w:right="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 xml:space="preserve">Unavailable data on the relative agreement of temporally processed, gypsy moth defoliation detection products from MODIS NDVI time series data with higher spatial resolution Landsat and ASTER data, which can also provide needed timely information on MODIS data's potential for contributing near real-time defoliation products to a USDA Forest Service Forest Threat Early Warning System </w:t>
      </w:r>
      <w:r>
        <w:rPr>
          <w:rFonts w:hint="default" w:ascii="Times New Roman" w:hAnsi="Times New Roman" w:eastAsia="Times New Roman" w:cs="Times New Roman"/>
          <w:kern w:val="0"/>
          <w:sz w:val="24"/>
          <w:szCs w:val="24"/>
          <w:lang w:val="en-US" w:eastAsia="zh-CN" w:bidi="ar"/>
        </w:rPr>
        <w:fldChar w:fldCharType="begin" w:fldLock="1"/>
      </w:r>
      <w:r>
        <w:rPr>
          <w:rFonts w:hint="default" w:ascii="Times New Roman" w:hAnsi="Times New Roman" w:eastAsia="Times New Roman" w:cs="Times New Roman"/>
          <w:kern w:val="0"/>
          <w:sz w:val="24"/>
          <w:szCs w:val="24"/>
          <w:lang w:val="en-US" w:eastAsia="zh-CN" w:bidi="ar"/>
        </w:rPr>
        <w:instrText xml:space="preserve">ADDIN CSL_CITATION {"citationItems":[{"id":"ITEM-1","itemData":{"DOI":"10.1016/j.rse.2010.09.013","ISSN":"00344257","abstract":"This paper discusses an assessment of Moderate Resolution Imaging Spectroradiometer (MODIS) time-series data products for detecting forest defoliation from European gypsy moth (Lymantria dispar). This paper describes an effort to aid the United States Department of Agriculture (USDA) Forest Service in developing and assessing MODIS-based gypsy moth defoliation detection products and methods that could be applied in near real time without intensive field survey data collection as a precursor. In our study, MODIS data for 2000-2006 were processed for the mid-Appalachian highland region of the United States. Gypsy moth defoliation maps showing defoliated forests versus non-defoliated areas were produced from temporally filtered and composited MOD02 and MOD13 data using unsupervised classification and image thresholding of maximum value normalized difference vegetation index (NDVI) datasets computed for the defoliation period (June 10-July 27) of 2001 and of the entire time series. These products were validated by comparing stratified random sample locations to relevant Landsat and Advanced Spaceborne Thermal Emission and Reflection Radiometer (ASTER) reference data sets. Composites of 250 m daily MOD02 outperformed 16-day MOD13 data in terms of classifying forest defoliation, showing a lower omission error rate (0.09 versus 0.56), a similar Kappa (0.67 versus 0.79), a comparable commission error rate (0.22 versus 0.14), and higher overall classification agreement (88 versus 79%). Results suggest that temporally processed MODIS time-series data can detect with good agreement to available reference data the extent and location of historical regional gypsy moth defoliation patches of 0.25 km2 or more for 250-meter products. The temporal processing techniques used in this study enabled effective broad regional, 'wall to wall' gypsy moth defoliation detection products for a 6.2million ha region that were not produced previously with either MODIS or other satellite data. This study provides new, previously unavailable information on the relative agreement of temporally processed, gypsy moth defoliation detection products from MODIS NDVI time series data with respect to higher spatial resolution Landsat and ASTER data. These results also provided needed timely information on the potential of MODIS data for contributing near real time defoliation products to a USDA Forest Service Forest Threat Early Warning System. © 2010 Elsevier Inc.","author":[{"dropping-particle":"","family":"Spruce","given":"Joseph P.","non-dropping-particle":"","parse-names":false,"suffix":""},{"dropping-particle":"","family":"Sader","given":"Steven","non-dropping-particle":"","parse-names":false,"suffix":""},{"dropping-particle":"","family":"Ryan","given":"Robert E.","non-dropping-particle":"","parse-names":false,"suffix":""},{"dropping-particle":"","family":"Smoot","given":"James","non-dropping-particle":"","parse-names":false,"suffix":""},{"dropping-particle":"","family":"Kuper","given":"Philip","non-dropping-particle":"","parse-names":false,"suffix":""},{"dropping-particle":"","family":"Ross","given":"Kenton","non-dropping-particle":"","parse-names":false,"suffix":""},{"dropping-particle":"","family":"Prados","given":"Donald","non-dropping-particle":"","parse-names":false,"suffix":""},{"dropping-particle":"","family":"Russell","given":"Jeffrey","non-dropping-particle":"","parse-names":false,"suffix":""},{"dropping-particle":"","family":"Gasser","given":"Gerald","non-dropping-particle":"","parse-names":false,"suffix":""},{"dropping-particle":"","family":"McKellip","given":"Rodney","non-dropping-particle":"","parse-names":false,"suffix":""},{"dropping-particle":"","family":"Hargrove","given":"William","non-dropping-particle":"","parse-names":false,"suffix":""}],"container-title":"Remote Sensing of Environment","id":"ITEM-1","issue":"2","issued":{"date-parts":[["2011"]]},"page":"427-437","publisher":"Elsevier Inc.","title":"Assessment of MODIS NDVI time series data products for detecting forest defoliation by gypsy moth outbreaks","type":"article-journal","volume":"115"},"uris":["http://www.mendeley.com/documents/?uuid=9c280970-564c-4b45-889a-8b45570fda28"]}],"mendeley":{"formattedCitation":"(Spruce et al., 2011)","plainTextFormattedCitation":"(Spruce et al., 2011)","previouslyFormattedCitation":"(Spruce et al., 2011)"},"properties":{"noteIndex":0},"schema":"https://github.com/citation-style-language/schema/raw/master/csl-citation.json"}</w:instrText>
      </w:r>
      <w:r>
        <w:rPr>
          <w:rFonts w:hint="default" w:ascii="Times New Roman" w:hAnsi="Times New Roman" w:eastAsia="Times New Roman" w:cs="Times New Roman"/>
          <w:kern w:val="0"/>
          <w:sz w:val="24"/>
          <w:szCs w:val="24"/>
          <w:lang w:val="en-US" w:eastAsia="zh-CN" w:bidi="ar"/>
        </w:rPr>
        <w:fldChar w:fldCharType="separate"/>
      </w:r>
      <w:r>
        <w:rPr>
          <w:rFonts w:hint="default" w:ascii="Times New Roman" w:hAnsi="Times New Roman" w:eastAsia="Times New Roman" w:cs="Times New Roman"/>
          <w:kern w:val="0"/>
          <w:sz w:val="24"/>
          <w:szCs w:val="24"/>
          <w:lang w:val="en-US" w:eastAsia="zh-CN" w:bidi="ar"/>
        </w:rPr>
        <w:t>(Spruce et al., 2011)</w:t>
      </w:r>
      <w:r>
        <w:rPr>
          <w:rFonts w:hint="default" w:ascii="Times New Roman" w:hAnsi="Times New Roman" w:eastAsia="Times New Roman" w:cs="Times New Roman"/>
          <w:kern w:val="0"/>
          <w:sz w:val="24"/>
          <w:szCs w:val="24"/>
          <w:lang w:val="en-US" w:eastAsia="zh-CN" w:bidi="ar"/>
        </w:rPr>
        <w:fldChar w:fldCharType="end"/>
      </w:r>
      <w:r>
        <w:rPr>
          <w:rFonts w:hint="default" w:ascii="Times New Roman" w:hAnsi="Times New Roman" w:eastAsia="Times New Roman" w:cs="Times New Roman"/>
          <w:kern w:val="0"/>
          <w:sz w:val="24"/>
          <w:szCs w:val="24"/>
          <w:lang w:val="en-US" w:eastAsia="zh-CN" w:bidi="ar"/>
        </w:rPr>
        <w:t xml:space="preserve">. </w:t>
      </w:r>
      <w:r>
        <w:rPr>
          <w:rFonts w:hint="default" w:ascii="Times New Roman" w:hAnsi="Times New Roman" w:eastAsia="Times New Roman" w:cs="Times New Roman"/>
          <w:color w:val="000000"/>
          <w:kern w:val="0"/>
          <w:sz w:val="24"/>
          <w:szCs w:val="24"/>
          <w:lang w:val="en-US" w:eastAsia="zh-CN" w:bidi="ar"/>
        </w:rPr>
        <w:t xml:space="preserve">The obtained quantity-spatial results, when correlated to the monthly values of the precipitations processed to obtain the SPI (Standardized Precipitation Index), mostly reveal, in terms of SIPI and also NDVI, a short reduction in the quality of the forest in the experimental area, in the sense that vegetation aspiration is grown due to meteorological factors that relying on the morphometric and pedological parameters of the habitat </w:t>
      </w:r>
      <w:r>
        <w:rPr>
          <w:rFonts w:hint="default" w:ascii="Times New Roman" w:hAnsi="Times New Roman" w:eastAsia="Times New Roman" w:cs="Times New Roman"/>
          <w:color w:val="000000"/>
          <w:kern w:val="0"/>
          <w:sz w:val="24"/>
          <w:szCs w:val="24"/>
          <w:lang w:val="en-US" w:eastAsia="zh-CN" w:bidi="ar"/>
        </w:rPr>
        <w:fldChar w:fldCharType="begin" w:fldLock="1"/>
      </w:r>
      <w:r>
        <w:rPr>
          <w:rFonts w:hint="default" w:ascii="Times New Roman" w:hAnsi="Times New Roman" w:eastAsia="Times New Roman" w:cs="Times New Roman"/>
          <w:color w:val="000000"/>
          <w:kern w:val="0"/>
          <w:sz w:val="24"/>
          <w:szCs w:val="24"/>
          <w:lang w:val="en-US" w:eastAsia="zh-CN" w:bidi="ar"/>
        </w:rPr>
        <w:instrText xml:space="preserve">ADDIN CSL_CITATION {"citationItems":[{"id":"ITEM-1","itemData":{"DOI":"10.1007/s40808-019-00652-5","ISBN":"0123456789","ISSN":"2363-6211","author":[{"dropping-particle":"","family":"Talukdar","given":"Nazimur Rahman","non-dropping-particle":"","parse-names":false,"suffix":""},{"dropping-particle":"","family":"Ahmed","given":"Raihan","non-dropping-particle":"","parse-names":false,"suffix":""},{"dropping-particle":"","family":"Choudhury","given":"Parthankar","non-dropping-particle":"","parse-names":false,"suffix":""},{"dropping-particle":"","family":"Akter","given":"Nazrina","non-dropping-particle":"","parse-names":false,"suffix":""}],"container-title":"Modeling Earth Systems and Environment","id":"ITEM-1","issue":"0123456789","issued":{"date-parts":[["2019"]]},"publisher":"Springer International Publishing","title":"Assessment of forest health status using a forest fragmentation approach : a study in Patharia Hills Reserve Forest , northeast India","type":"article-journal"},"uris":["http://www.mendeley.com/documents/?uuid=dd6428b4-1dd7-4996-9b08-7e7a6de13499"]}],"mendeley":{"formattedCitation":"(Talukdar et al., 2019)","plainTextFormattedCitation":"(Talukdar et al., 2019)","previouslyFormattedCitation":"(Talukdar et al., 2019)"},"properties":{"noteIndex":0},"schema":"https://github.com/citation-style-language/schema/raw/master/csl-citation.json"}</w:instrText>
      </w:r>
      <w:r>
        <w:rPr>
          <w:rFonts w:hint="default" w:ascii="Times New Roman" w:hAnsi="Times New Roman" w:eastAsia="Times New Roman" w:cs="Times New Roman"/>
          <w:color w:val="000000"/>
          <w:kern w:val="0"/>
          <w:sz w:val="24"/>
          <w:szCs w:val="24"/>
          <w:lang w:val="en-US" w:eastAsia="zh-CN" w:bidi="ar"/>
        </w:rPr>
        <w:fldChar w:fldCharType="separate"/>
      </w:r>
      <w:r>
        <w:rPr>
          <w:rFonts w:hint="default" w:ascii="Times New Roman" w:hAnsi="Times New Roman" w:eastAsia="Times New Roman" w:cs="Times New Roman"/>
          <w:color w:val="000000"/>
          <w:kern w:val="0"/>
          <w:sz w:val="24"/>
          <w:szCs w:val="24"/>
          <w:lang w:val="en-US" w:eastAsia="zh-CN" w:bidi="ar"/>
        </w:rPr>
        <w:t>(Talukdar et al., 2019)</w:t>
      </w:r>
      <w:r>
        <w:rPr>
          <w:rFonts w:hint="default" w:ascii="Times New Roman" w:hAnsi="Times New Roman" w:eastAsia="Times New Roman" w:cs="Times New Roman"/>
          <w:color w:val="000000"/>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 xml:space="preserve">. Using hyperspectral and multispectral satellite imagery to assess the health of the forest and validating it with field spectra data with remote sensing-based data, markers, and models for forest health monitoring </w:t>
      </w:r>
      <w:r>
        <w:rPr>
          <w:rFonts w:hint="default" w:ascii="Times New Roman" w:hAnsi="Times New Roman" w:eastAsia="Times New Roman" w:cs="Times New Roman"/>
          <w:color w:val="000000"/>
          <w:kern w:val="0"/>
          <w:sz w:val="24"/>
          <w:szCs w:val="24"/>
          <w:lang w:val="en-US" w:eastAsia="zh-CN" w:bidi="ar"/>
        </w:rPr>
        <w:fldChar w:fldCharType="begin" w:fldLock="1"/>
      </w:r>
      <w:r>
        <w:rPr>
          <w:rFonts w:hint="default" w:ascii="Times New Roman" w:hAnsi="Times New Roman" w:eastAsia="Times New Roman" w:cs="Times New Roman"/>
          <w:color w:val="000000"/>
          <w:kern w:val="0"/>
          <w:sz w:val="24"/>
          <w:szCs w:val="24"/>
          <w:lang w:val="en-US" w:eastAsia="zh-CN" w:bidi="ar"/>
        </w:rPr>
        <w:instrText xml:space="preserve">ADDIN CSL_CITATION {"citationItems":[{"id":"ITEM-1","itemData":{"DOI":"10.1016/j.ecolind.2019.105471","ISSN":"1470-160X","author":[{"dropping-particle":"","family":"Kayet","given":"Narayan","non-dropping-particle":"","parse-names":false,"suffix":""},{"dropping-particle":"","family":"Pathak","given":"Khanindra","non-dropping-particle":"","parse-names":false,"suffix":""},{"dropping-particle":"","family":"Chakrabarty","given":"Abhisek","non-dropping-particle":"","parse-names":false,"suffix":""},{"dropping-particle":"","family":"Singh","given":"C P","non-dropping-particle":"","parse-names":false,"suffix":""},{"dropping-particle":"","family":"Chowdary","given":"V M","non-dropping-particle":"","parse-names":false,"suffix":""}],"container-title":"Ecological Indicators","id":"ITEM-1","issue":"June","issued":{"date-parts":[["2019"]]},"page":"105471","publisher":"Elsevier","title":"Forest health assessment for geo-environmental planning and management in hilltop mining areas using Hyperion and Landsat data","type":"article-journal","volume":"106"},"uris":["http://www.mendeley.com/documents/?uuid=e4297101-866c-4b70-b575-09bc88fab7c9"]}],"mendeley":{"formattedCitation":"(Kayet et al., 2019)","plainTextFormattedCitation":"(Kayet et al., 2019)","previouslyFormattedCitation":"(Kayet et al., 2019)"},"properties":{"noteIndex":0},"schema":"https://github.com/citation-style-language/schema/raw/master/csl-citation.json"}</w:instrText>
      </w:r>
      <w:r>
        <w:rPr>
          <w:rFonts w:hint="default" w:ascii="Times New Roman" w:hAnsi="Times New Roman" w:eastAsia="Times New Roman" w:cs="Times New Roman"/>
          <w:color w:val="000000"/>
          <w:kern w:val="0"/>
          <w:sz w:val="24"/>
          <w:szCs w:val="24"/>
          <w:lang w:val="en-US" w:eastAsia="zh-CN" w:bidi="ar"/>
        </w:rPr>
        <w:fldChar w:fldCharType="separate"/>
      </w:r>
      <w:r>
        <w:rPr>
          <w:rFonts w:hint="default" w:ascii="Times New Roman" w:hAnsi="Times New Roman" w:eastAsia="Times New Roman" w:cs="Times New Roman"/>
          <w:color w:val="000000"/>
          <w:kern w:val="0"/>
          <w:sz w:val="24"/>
          <w:szCs w:val="24"/>
          <w:lang w:val="en-US" w:eastAsia="zh-CN" w:bidi="ar"/>
        </w:rPr>
        <w:t>(Kayet et al., 2019)</w:t>
      </w:r>
      <w:r>
        <w:rPr>
          <w:rFonts w:hint="default" w:ascii="Times New Roman" w:hAnsi="Times New Roman" w:eastAsia="Times New Roman" w:cs="Times New Roman"/>
          <w:color w:val="000000"/>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 xml:space="preserve">. The forest health module in ENVI image processing software was developed by analyzing forest health, its parameters, and the suitability of hyperspectral data for vegetation health-related analysis using primarily three indices: anthocyanin reflectance index 1, water band index, and enhanced vegetation index </w:t>
      </w:r>
      <w:r>
        <w:rPr>
          <w:rFonts w:hint="default" w:ascii="Times New Roman" w:hAnsi="Times New Roman" w:eastAsia="Times New Roman" w:cs="Times New Roman"/>
          <w:color w:val="000000"/>
          <w:kern w:val="0"/>
          <w:sz w:val="24"/>
          <w:szCs w:val="24"/>
          <w:lang w:val="en-US" w:eastAsia="zh-CN" w:bidi="ar"/>
        </w:rPr>
        <w:fldChar w:fldCharType="begin" w:fldLock="1"/>
      </w:r>
      <w:r>
        <w:rPr>
          <w:rFonts w:hint="default" w:ascii="Times New Roman" w:hAnsi="Times New Roman" w:eastAsia="Times New Roman" w:cs="Times New Roman"/>
          <w:color w:val="000000"/>
          <w:kern w:val="0"/>
          <w:sz w:val="24"/>
          <w:szCs w:val="24"/>
          <w:lang w:val="en-US" w:eastAsia="zh-CN" w:bidi="ar"/>
        </w:rPr>
        <w:instrText xml:space="preserve">ADDIN CSL_CITATION {"citationItems":[{"id":"ITEM-1","itemData":{"DOI":"10.1007/s41324-019-00260-6","ISSN":"23663294","abstract":"The present study deals with analyzing forest health, its parameters, and suitability of hyperspectral data for vegetation health-related studies. Sholayar reserve forest in Kerala has a huge reserve of equatorial moist evergreen forest and demands preservation in every respect. Due to increased human interferences coupled with possible climate change, its health is undergoing a stage of deterioration. Stress levels in the canopy were assessed using a number of stress-related pigments. Detailed study of vegetation response to canopy leaf pigments have been carried out in the study. Airborne Visible Infrared Imaging Spectrometer Next Generation (AVIRIS-NG) data provides immense possibilities to study a number of stress-related pigments like anthocyanin, carotenoid, lignin, chlorophyll-a, b etc. Dominant species in these forests are Holigarna arnottiana, Grevillea robusta, Grewia tiliifolia, Syzygium cumini, Alstonia Scholaris, Cinnamomum verum, Artocarpus heterophyllus, Bischofia javanica, Mangifera indica, Bombax ceiba, Anogeissus latifolia, Terminalia paniculata etc. Apart from luscious natural vegetation, plantation of teak (Tectona Grandis), rubber (Hevea brasiliensis), tea (Camellia sinensis), Coffee (Coffee Arabica), Palm-Oil tree (Elaeis guineensis) etc. also exists. Field data pertaining to one of the selected pigments was correlated with remotely sensed pigment estimates. Correlation of field measured chlorophyll concentration and EVI showed R2 = 0.421. Similarly, the anthocyanin index showed a correlation of R2 = 0.319. In the Sholayar Reserve Forest (493.0 km2) an area of 141.0 km2 was found to be in a healthy state. Whereas about 218.0 km2 of area exhibit moderately healthy condition and 77.0 km2 area was in the least healthy state.","author":[{"dropping-particle":"","family":"Ahmad","given":"Shahbaz","non-dropping-particle":"","parse-names":false,"suffix":""},{"dropping-particle":"","family":"Pandey","given":"Arvind Chandra","non-dropping-particle":"","parse-names":false,"suffix":""},{"dropping-particle":"","family":"Kumar","given":"Amit","non-dropping-particle":"","parse-names":false,"suffix":""},{"dropping-particle":"V.","family":"Lele","given":"Nikhil","non-dropping-particle":"","parse-names":false,"suffix":""},{"dropping-particle":"","family":"Bhattacharya","given":"Bimal K.","non-dropping-particle":"","parse-names":false,"suffix":""}],"container-title":"Spatial Information Research","id":"ITEM-1","issue":"1","issued":{"date-parts":[["2020"]]},"page":"25-38","publisher":"Springer Singapore","title":"Forest health estimation in Sholayar Reserve Forest, Kerala using AVIRIS-NG hyperspectral data","type":"article-journal","volume":"28"},"uris":["http://www.mendeley.com/documents/?uuid=5973c56e-7cb1-4b50-801d-d207ada22ec6"]}],"mendeley":{"formattedCitation":"(Ahmad et al., 2020)","plainTextFormattedCitation":"(Ahmad et al., 2020)","previouslyFormattedCitation":"(Ahmad et al., 2020)"},"properties":{"noteIndex":0},"schema":"https://github.com/citation-style-language/schema/raw/master/csl-citation.json"}</w:instrText>
      </w:r>
      <w:r>
        <w:rPr>
          <w:rFonts w:hint="default" w:ascii="Times New Roman" w:hAnsi="Times New Roman" w:eastAsia="Times New Roman" w:cs="Times New Roman"/>
          <w:color w:val="000000"/>
          <w:kern w:val="0"/>
          <w:sz w:val="24"/>
          <w:szCs w:val="24"/>
          <w:lang w:val="en-US" w:eastAsia="zh-CN" w:bidi="ar"/>
        </w:rPr>
        <w:fldChar w:fldCharType="separate"/>
      </w:r>
      <w:r>
        <w:rPr>
          <w:rFonts w:hint="default" w:ascii="Times New Roman" w:hAnsi="Times New Roman" w:eastAsia="Times New Roman" w:cs="Times New Roman"/>
          <w:color w:val="000000"/>
          <w:kern w:val="0"/>
          <w:sz w:val="24"/>
          <w:szCs w:val="24"/>
          <w:lang w:val="en-US" w:eastAsia="zh-CN" w:bidi="ar"/>
        </w:rPr>
        <w:t>(Ahmad et al., 2020)</w:t>
      </w:r>
      <w:r>
        <w:rPr>
          <w:rFonts w:hint="default" w:ascii="Times New Roman" w:hAnsi="Times New Roman" w:eastAsia="Times New Roman" w:cs="Times New Roman"/>
          <w:color w:val="000000"/>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 xml:space="preserve">. The Normalized Difference Vegetation Index (NDVI) and tree-ring widths were used to analyze the topographic patterns of growth reduction in a forest region over time. While considering GEE limitations for image preprocessing, random forest has been identified as the most popular classification method, and spectral index difference has been identified as the most efficient method for forest change detection, revealing how applying this platform for forest monitoring is trending. </w:t>
      </w:r>
      <w:r>
        <w:rPr>
          <w:rFonts w:hint="default" w:ascii="Times New Roman" w:hAnsi="Times New Roman" w:eastAsia="Times New Roman" w:cs="Times New Roman"/>
          <w:color w:val="000000"/>
          <w:kern w:val="0"/>
          <w:sz w:val="24"/>
          <w:szCs w:val="24"/>
          <w:lang w:val="en-US" w:eastAsia="zh-CN" w:bidi="ar"/>
        </w:rPr>
        <w:fldChar w:fldCharType="begin" w:fldLock="1"/>
      </w:r>
      <w:r>
        <w:rPr>
          <w:rFonts w:hint="default" w:ascii="Times New Roman" w:hAnsi="Times New Roman" w:eastAsia="Times New Roman" w:cs="Times New Roman"/>
          <w:color w:val="000000"/>
          <w:kern w:val="0"/>
          <w:sz w:val="24"/>
          <w:szCs w:val="24"/>
          <w:lang w:val="en-US" w:eastAsia="zh-CN" w:bidi="ar"/>
        </w:rPr>
        <w:instrText xml:space="preserve">ADDIN CSL_CITATION {"citationItems":[{"id":"ITEM-1","itemData":{"ISBN":"9783030565411","abstract":"… Sahra Mohammadi-Mehr, and Dariush Hayati 25 Conversion of Land Use Land Cover … non-timber forest and rural livelihood, forest biomass and carbon stocks, water resources … His main research interests are GIS-based spatial modelling using machine learning/data mining …","author":[{"dropping-particle":"","family":"Shit","given":"Pravat Kumar","non-dropping-particle":"","parse-names":false,"suffix":""},{"dropping-particle":"","family":"Pourghasemi","given":"Hamid Reza","non-dropping-particle":"","parse-names":false,"suffix":""},{"dropping-particle":"","family":"Das","given":"Pulakesh","non-dropping-particle":"","parse-names":false,"suffix":""},{"dropping-particle":"","family":"Editors","given":"Gouri Sankar Bhunia","non-dropping-particle":"","parse-names":false,"suffix":""}],"container-title":"Springer","id":"ITEM-1","issued":{"date-parts":[["2021"]]},"number-of-pages":"675","title":"Spatial Modeling in Forest Resources Management","type":"book"},"uris":["http://www.mendeley.com/documents/?uuid=503c8f2a-1641-4187-bab2-c25fa7fc94b9"]}],"mendeley":{"formattedCitation":"(Shit et al., 2021)","plainTextFormattedCitation":"(Shit et al., 2021)","previouslyFormattedCitation":"(Shit et al., 2021)"},"properties":{"noteIndex":0},"schema":"https://github.com/citation-style-language/schema/raw/master/csl-citation.json"}</w:instrText>
      </w:r>
      <w:r>
        <w:rPr>
          <w:rFonts w:hint="default" w:ascii="Times New Roman" w:hAnsi="Times New Roman" w:eastAsia="Times New Roman" w:cs="Times New Roman"/>
          <w:color w:val="000000"/>
          <w:kern w:val="0"/>
          <w:sz w:val="24"/>
          <w:szCs w:val="24"/>
          <w:lang w:val="en-US" w:eastAsia="zh-CN" w:bidi="ar"/>
        </w:rPr>
        <w:fldChar w:fldCharType="separate"/>
      </w:r>
      <w:r>
        <w:rPr>
          <w:rFonts w:hint="default" w:ascii="Times New Roman" w:hAnsi="Times New Roman" w:eastAsia="Times New Roman" w:cs="Times New Roman"/>
          <w:color w:val="000000"/>
          <w:kern w:val="0"/>
          <w:sz w:val="24"/>
          <w:szCs w:val="24"/>
          <w:lang w:val="en-US" w:eastAsia="zh-CN" w:bidi="ar"/>
        </w:rPr>
        <w:t>(Shit et al., 2021)</w:t>
      </w:r>
      <w:r>
        <w:rPr>
          <w:rFonts w:hint="default" w:ascii="Times New Roman" w:hAnsi="Times New Roman" w:eastAsia="Times New Roman" w:cs="Times New Roman"/>
          <w:color w:val="000000"/>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 xml:space="preserve">. Using Remote Sensing and GIS tools, determine the forest health pattern of a National Park. The USGS Earth Explorer Community provided multitemporal Landsat 8 operational Land Imager (OLI) data. Different vegetation indices have been created to measure forest health, including the Normalized Difference Vegetation Index (NDVI), SARVI (Soil and Atmospheric Resistant Vegetation Index), Modified Chlorophyll Absorption Ratio (MCARI), and Moisture Stress Index (MSI). Finally, a GIS platform is used to execute a weighted overlay analysis to determine the forest health pattern in a national park </w:t>
      </w:r>
      <w:r>
        <w:rPr>
          <w:rFonts w:hint="default" w:ascii="Times-Roman9" w:hAnsi="Times-Roman9" w:eastAsia="Times New Roman" w:cs="Times New Roman"/>
          <w:color w:val="000000"/>
          <w:kern w:val="0"/>
          <w:sz w:val="24"/>
          <w:szCs w:val="24"/>
          <w:lang w:val="en-US" w:eastAsia="zh-CN" w:bidi="ar"/>
        </w:rPr>
        <w:fldChar w:fldCharType="begin" w:fldLock="1"/>
      </w:r>
      <w:r>
        <w:rPr>
          <w:rFonts w:hint="default" w:ascii="Times-Roman9" w:hAnsi="Times-Roman9" w:eastAsia="Times New Roman" w:cs="Times New Roman"/>
          <w:color w:val="000000"/>
          <w:kern w:val="0"/>
          <w:sz w:val="24"/>
          <w:szCs w:val="24"/>
          <w:lang w:val="en-US" w:eastAsia="zh-CN" w:bidi="ar"/>
        </w:rPr>
        <w:instrText xml:space="preserve">ADDIN CSL_CITATION {"citationItems":[{"id":"ITEM-1","itemData":{"ISBN":"9783030565411","abstract":"… Sahra Mohammadi-Mehr, and Dariush Hayati 25 Conversion of Land Use Land Cover … non-timber forest and rural livelihood, forest biomass and carbon stocks, water resources … His main research interests are GIS-based spatial modelling using machine learning/data mining …","author":[{"dropping-particle":"","family":"Shit","given":"Pravat Kumar","non-dropping-particle":"","parse-names":false,"suffix":""},{"dropping-particle":"","family":"Pourghasemi","given":"Hamid Reza","non-dropping-particle":"","parse-names":false,"suffix":""},{"dropping-particle":"","family":"Das","given":"Pulakesh","non-dropping-particle":"","parse-names":false,"suffix":""},{"dropping-particle":"","family":"Editors","given":"Gouri Sankar Bhunia","non-dropping-particle":"","parse-names":false,"suffix":""}],"container-title":"Springer","id":"ITEM-1","issued":{"date-parts":[["2021"]]},"number-of-pages":"675","title":"Spatial Modeling in Forest Resources Management","type":"book"},"uris":["http://www.mendeley.com/documents/?uuid=503c8f2a-1641-4187-bab2-c25fa7fc94b9"]}],"mendeley":{"formattedCitation":"(Shit et al., 2021)","plainTextFormattedCitation":"(Shit et al., 2021)"},"properties":{"noteIndex":0},"schema":"https://github.com/citation-style-language/schema/raw/master/csl-citation.json"}</w:instrText>
      </w:r>
      <w:r>
        <w:rPr>
          <w:rFonts w:hint="default" w:ascii="Times-Roman9" w:hAnsi="Times-Roman9" w:eastAsia="Times New Roman" w:cs="Times New Roman"/>
          <w:color w:val="000000"/>
          <w:kern w:val="0"/>
          <w:sz w:val="24"/>
          <w:szCs w:val="24"/>
          <w:lang w:val="en-US" w:eastAsia="zh-CN" w:bidi="ar"/>
        </w:rPr>
        <w:fldChar w:fldCharType="separate"/>
      </w:r>
      <w:r>
        <w:rPr>
          <w:rFonts w:hint="default" w:ascii="Times-Roman9" w:hAnsi="Times-Roman9" w:eastAsia="Times New Roman" w:cs="Times New Roman"/>
          <w:color w:val="000000"/>
          <w:kern w:val="0"/>
          <w:sz w:val="24"/>
          <w:szCs w:val="24"/>
          <w:lang w:val="en-US" w:eastAsia="zh-CN" w:bidi="ar"/>
        </w:rPr>
        <w:t>(Shit et al., 2021)</w:t>
      </w:r>
      <w:r>
        <w:rPr>
          <w:rFonts w:hint="default" w:ascii="Times-Roman9" w:hAnsi="Times-Roman9" w:eastAsia="Times New Roman" w:cs="Times New Roman"/>
          <w:color w:val="000000"/>
          <w:kern w:val="0"/>
          <w:sz w:val="24"/>
          <w:szCs w:val="24"/>
          <w:lang w:val="en-US" w:eastAsia="zh-CN" w:bidi="ar"/>
        </w:rPr>
        <w:fldChar w:fldCharType="end"/>
      </w:r>
      <w:r>
        <w:rPr>
          <w:rFonts w:hint="default" w:ascii="Times-Roman9" w:hAnsi="Times-Roman9" w:eastAsia="Times New Roman" w:cs="Times New Roman"/>
          <w:color w:val="000000"/>
          <w:kern w:val="0"/>
          <w:sz w:val="24"/>
          <w:szCs w:val="24"/>
          <w:lang w:val="en-US"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Times New Roman" w:cs="Times New Roman"/>
          <w:b/>
          <w:bCs/>
          <w:color w:val="000000"/>
          <w:sz w:val="24"/>
          <w:szCs w:val="24"/>
          <w:lang w:val="en-US"/>
        </w:rPr>
      </w:pPr>
      <w:bookmarkStart w:id="2" w:name="_GoBack"/>
      <w:r>
        <w:rPr>
          <w:rFonts w:hint="default" w:ascii="Times New Roman" w:hAnsi="Times New Roman" w:eastAsia="Times New Roman" w:cs="Times New Roman"/>
          <w:b/>
          <w:bCs/>
          <w:color w:val="000000"/>
          <w:kern w:val="0"/>
          <w:sz w:val="24"/>
          <w:szCs w:val="24"/>
          <w:lang w:val="en-US" w:eastAsia="zh-CN" w:bidi="ar"/>
        </w:rPr>
        <w:t>Reference</w:t>
      </w:r>
    </w:p>
    <w:bookmarkEnd w:id="2"/>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FF"/>
          <w:sz w:val="24"/>
          <w:szCs w:val="24"/>
          <w:lang w:val="en-US"/>
        </w:rPr>
      </w:pPr>
      <w:r>
        <w:rPr>
          <w:rFonts w:hint="default" w:ascii="Times New Roman" w:hAnsi="Times New Roman" w:eastAsia="Times New Roman" w:cs="Times New Roman"/>
          <w:color w:val="000000"/>
          <w:kern w:val="0"/>
          <w:sz w:val="24"/>
          <w:szCs w:val="24"/>
          <w:lang w:val="en-US" w:eastAsia="zh-CN" w:bidi="ar"/>
        </w:rPr>
        <w:t xml:space="preserve">Lausch A, Erasmi S, King D, Magdon P, Heurich M (2017) Understanding forest health with remote sensing-Part II—A review of approaches and Data models. Remote Sens 9(2):129. </w:t>
      </w:r>
      <w:r>
        <w:rPr>
          <w:rFonts w:hint="default" w:ascii="Times New Roman" w:hAnsi="Times New Roman" w:eastAsia="Times New Roman" w:cs="Times New Roman"/>
          <w:color w:val="0000FF"/>
          <w:kern w:val="0"/>
          <w:sz w:val="24"/>
          <w:szCs w:val="24"/>
          <w:lang w:val="en-US" w:eastAsia="zh-CN" w:bidi="ar"/>
        </w:rPr>
        <w:t>https://doi. org/10.3390/rs9020129</w:t>
      </w:r>
    </w:p>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sz w:val="24"/>
          <w:szCs w:val="24"/>
          <w:lang w:val="en-US"/>
        </w:rPr>
      </w:pP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fldChar w:fldCharType="begin" w:fldLock="1"/>
      </w:r>
      <w:r>
        <w:rPr>
          <w:rFonts w:hint="default" w:ascii="Times New Roman" w:hAnsi="Times New Roman" w:eastAsia="Times New Roman" w:cs="Times New Roman"/>
          <w:kern w:val="0"/>
          <w:sz w:val="24"/>
          <w:szCs w:val="24"/>
          <w:lang w:val="en-US" w:eastAsia="zh-CN" w:bidi="ar"/>
        </w:rPr>
        <w:instrText xml:space="preserve">ADDIN Mendeley Bibliography CSL_BIBLIOGRAPHY </w:instrText>
      </w:r>
      <w:r>
        <w:rPr>
          <w:rFonts w:hint="default" w:ascii="Times New Roman" w:hAnsi="Times New Roman" w:eastAsia="Times New Roman" w:cs="Times New Roman"/>
          <w:kern w:val="0"/>
          <w:sz w:val="24"/>
          <w:szCs w:val="24"/>
          <w:lang w:val="en-US" w:eastAsia="zh-CN" w:bidi="ar"/>
        </w:rPr>
        <w:fldChar w:fldCharType="separate"/>
      </w:r>
      <w:r>
        <w:rPr>
          <w:rFonts w:hint="default" w:ascii="Times New Roman" w:hAnsi="Times New Roman" w:eastAsia="Calibri" w:cs="Times New Roman"/>
          <w:kern w:val="0"/>
          <w:sz w:val="24"/>
          <w:szCs w:val="24"/>
          <w:lang w:val="en-US" w:eastAsia="zh-CN" w:bidi="ar"/>
        </w:rPr>
        <w:t xml:space="preserve">Ahmad, S., Pandey, A. C., Kumar, A., Lele, N. V., &amp; Bhattacharya, B. K. (2020). Forest health estimation in Sholayar Reserve Forest, Kerala using AVIRIS-NG hyperspectral data. </w:t>
      </w:r>
      <w:r>
        <w:rPr>
          <w:rFonts w:hint="default" w:ascii="Times New Roman" w:hAnsi="Times New Roman" w:eastAsia="Calibri" w:cs="Times New Roman"/>
          <w:i/>
          <w:iCs/>
          <w:kern w:val="0"/>
          <w:sz w:val="24"/>
          <w:szCs w:val="24"/>
          <w:lang w:val="en-US" w:eastAsia="zh-CN" w:bidi="ar"/>
        </w:rPr>
        <w:t>Spatial Information Research</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i/>
          <w:iCs/>
          <w:kern w:val="0"/>
          <w:sz w:val="24"/>
          <w:szCs w:val="24"/>
          <w:lang w:val="en-US" w:eastAsia="zh-CN" w:bidi="ar"/>
        </w:rPr>
        <w:t>28</w:t>
      </w:r>
      <w:r>
        <w:rPr>
          <w:rFonts w:hint="default" w:ascii="Times New Roman" w:hAnsi="Times New Roman" w:eastAsia="Calibri" w:cs="Times New Roman"/>
          <w:kern w:val="0"/>
          <w:sz w:val="24"/>
          <w:szCs w:val="24"/>
          <w:lang w:val="en-US" w:eastAsia="zh-CN" w:bidi="ar"/>
        </w:rPr>
        <w:t>(1), 25–38. https://doi.org/10.1007/s41324-019-00260-6</w:t>
      </w: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Kayet, N., Pathak, K., Chakrabarty, A., Singh, C. P., &amp; Chowdary, V. M. (2019). Forest health assessment for geo-environmental planning and management in hilltop mining areas using Hyperion and Landsat data. </w:t>
      </w:r>
      <w:r>
        <w:rPr>
          <w:rFonts w:hint="default" w:ascii="Times New Roman" w:hAnsi="Times New Roman" w:eastAsia="Calibri" w:cs="Times New Roman"/>
          <w:i/>
          <w:iCs/>
          <w:kern w:val="0"/>
          <w:sz w:val="24"/>
          <w:szCs w:val="24"/>
          <w:lang w:val="en-US" w:eastAsia="zh-CN" w:bidi="ar"/>
        </w:rPr>
        <w:t>Ecological Indicators</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i/>
          <w:iCs/>
          <w:kern w:val="0"/>
          <w:sz w:val="24"/>
          <w:szCs w:val="24"/>
          <w:lang w:val="en-US" w:eastAsia="zh-CN" w:bidi="ar"/>
        </w:rPr>
        <w:t>106</w:t>
      </w:r>
      <w:r>
        <w:rPr>
          <w:rFonts w:hint="default" w:ascii="Times New Roman" w:hAnsi="Times New Roman" w:eastAsia="Calibri" w:cs="Times New Roman"/>
          <w:kern w:val="0"/>
          <w:sz w:val="24"/>
          <w:szCs w:val="24"/>
          <w:lang w:val="en-US" w:eastAsia="zh-CN" w:bidi="ar"/>
        </w:rPr>
        <w:t>(June), 105471. https://doi.org/10.1016/j.ecolind.2019.105471</w:t>
      </w: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Nandi, D., &amp; Sarkar, S. (2021). Non-timber forest products based household industries and rural economy—a case study of jaypur block in bankura district, west bengal (india). In </w:t>
      </w:r>
      <w:r>
        <w:rPr>
          <w:rFonts w:hint="default" w:ascii="Times New Roman" w:hAnsi="Times New Roman" w:eastAsia="Calibri" w:cs="Times New Roman"/>
          <w:i/>
          <w:iCs/>
          <w:kern w:val="0"/>
          <w:sz w:val="24"/>
          <w:szCs w:val="24"/>
          <w:lang w:val="en-US" w:eastAsia="zh-CN" w:bidi="ar"/>
        </w:rPr>
        <w:t>Environmental Science and Engineering</w:t>
      </w:r>
      <w:r>
        <w:rPr>
          <w:rFonts w:hint="default" w:ascii="Times New Roman" w:hAnsi="Times New Roman" w:eastAsia="Calibri" w:cs="Times New Roman"/>
          <w:kern w:val="0"/>
          <w:sz w:val="24"/>
          <w:szCs w:val="24"/>
          <w:lang w:val="en-US" w:eastAsia="zh-CN" w:bidi="ar"/>
        </w:rPr>
        <w:t>. https://doi.org/10.1007/978-3-030-56542-8_21</w:t>
      </w: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Shit, P. K., Pourghasemi, H. R., Das, P., &amp; Editors, G. S. B. (2021). Spatial Modeling in Forest Resources Management. In </w:t>
      </w:r>
      <w:r>
        <w:rPr>
          <w:rFonts w:hint="default" w:ascii="Times New Roman" w:hAnsi="Times New Roman" w:eastAsia="Calibri" w:cs="Times New Roman"/>
          <w:i/>
          <w:iCs/>
          <w:kern w:val="0"/>
          <w:sz w:val="24"/>
          <w:szCs w:val="24"/>
          <w:lang w:val="en-US" w:eastAsia="zh-CN" w:bidi="ar"/>
        </w:rPr>
        <w:t>Springer</w:t>
      </w:r>
      <w:r>
        <w:rPr>
          <w:rFonts w:hint="default" w:ascii="Times New Roman" w:hAnsi="Times New Roman" w:eastAsia="Calibri" w:cs="Times New Roman"/>
          <w:kern w:val="0"/>
          <w:sz w:val="24"/>
          <w:szCs w:val="24"/>
          <w:lang w:val="en-US" w:eastAsia="zh-CN" w:bidi="ar"/>
        </w:rPr>
        <w:t>.</w:t>
      </w: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4"/>
          <w:lang w:val="en-US"/>
        </w:rPr>
      </w:pPr>
      <w:r>
        <w:rPr>
          <w:rFonts w:hint="default" w:ascii="Times New Roman" w:hAnsi="Times New Roman" w:eastAsia="Calibri" w:cs="Times New Roman"/>
          <w:kern w:val="0"/>
          <w:sz w:val="24"/>
          <w:szCs w:val="24"/>
          <w:lang w:val="en-US" w:eastAsia="zh-CN" w:bidi="ar"/>
        </w:rPr>
        <w:t xml:space="preserve">Spruce, J. P., Sader, S., Ryan, R. E., Smoot, J., Kuper, P., Ross, K., Prados, D., Russell, J., Gasser, G., McKellip, R., &amp; Hargrove, W. (2011). Assessment of MODIS NDVI time series data products for detecting forest defoliation by gypsy moth outbreaks. </w:t>
      </w:r>
      <w:r>
        <w:rPr>
          <w:rFonts w:hint="default" w:ascii="Times New Roman" w:hAnsi="Times New Roman" w:eastAsia="Calibri" w:cs="Times New Roman"/>
          <w:i/>
          <w:iCs/>
          <w:kern w:val="0"/>
          <w:sz w:val="24"/>
          <w:szCs w:val="24"/>
          <w:lang w:val="en-US" w:eastAsia="zh-CN" w:bidi="ar"/>
        </w:rPr>
        <w:t>Remote Sensing of Environment</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i/>
          <w:iCs/>
          <w:kern w:val="0"/>
          <w:sz w:val="24"/>
          <w:szCs w:val="24"/>
          <w:lang w:val="en-US" w:eastAsia="zh-CN" w:bidi="ar"/>
        </w:rPr>
        <w:t>115</w:t>
      </w:r>
      <w:r>
        <w:rPr>
          <w:rFonts w:hint="default" w:ascii="Times New Roman" w:hAnsi="Times New Roman" w:eastAsia="Calibri" w:cs="Times New Roman"/>
          <w:kern w:val="0"/>
          <w:sz w:val="24"/>
          <w:szCs w:val="24"/>
          <w:lang w:val="en-US" w:eastAsia="zh-CN" w:bidi="ar"/>
        </w:rPr>
        <w:t>(2), 427–437. https://doi.org/10.1016/j.rse.2010.09.013</w:t>
      </w:r>
    </w:p>
    <w:p>
      <w:pPr>
        <w:keepNext w:val="0"/>
        <w:keepLines w:val="0"/>
        <w:widowControl w:val="0"/>
        <w:suppressLineNumbers w:val="0"/>
        <w:autoSpaceDE w:val="0"/>
        <w:autoSpaceDN w:val="0"/>
        <w:adjustRightInd w:val="0"/>
        <w:spacing w:before="0" w:beforeAutospacing="0" w:after="160" w:afterAutospacing="0" w:line="240" w:lineRule="auto"/>
        <w:ind w:left="480" w:right="0" w:hanging="480"/>
        <w:jc w:val="left"/>
        <w:rPr>
          <w:rFonts w:hint="default" w:ascii="Times New Roman" w:hAnsi="Times New Roman" w:cs="Times New Roman"/>
          <w:sz w:val="24"/>
          <w:szCs w:val="22"/>
          <w:lang w:val="en-US"/>
        </w:rPr>
      </w:pPr>
      <w:r>
        <w:rPr>
          <w:rFonts w:hint="default" w:ascii="Times New Roman" w:hAnsi="Times New Roman" w:eastAsia="Calibri" w:cs="Times New Roman"/>
          <w:kern w:val="0"/>
          <w:sz w:val="24"/>
          <w:szCs w:val="24"/>
          <w:lang w:val="en-US" w:eastAsia="zh-CN" w:bidi="ar"/>
        </w:rPr>
        <w:t xml:space="preserve">Talukdar, N. R., Ahmed, R., Choudhury, P., &amp; Akter, N. (2019). Assessment of forest health status using a forest fragmentation approach : a study in Patharia Hills Reserve Forest , northeast India. </w:t>
      </w:r>
      <w:r>
        <w:rPr>
          <w:rFonts w:hint="default" w:ascii="Times New Roman" w:hAnsi="Times New Roman" w:eastAsia="Calibri" w:cs="Times New Roman"/>
          <w:i/>
          <w:iCs/>
          <w:kern w:val="0"/>
          <w:sz w:val="24"/>
          <w:szCs w:val="24"/>
          <w:lang w:val="en-US" w:eastAsia="zh-CN" w:bidi="ar"/>
        </w:rPr>
        <w:t>Modeling Earth Systems and Environment</w:t>
      </w:r>
      <w:r>
        <w:rPr>
          <w:rFonts w:hint="default" w:ascii="Times New Roman" w:hAnsi="Times New Roman" w:eastAsia="Calibri" w:cs="Times New Roman"/>
          <w:kern w:val="0"/>
          <w:sz w:val="24"/>
          <w:szCs w:val="24"/>
          <w:lang w:val="en-US" w:eastAsia="zh-CN" w:bidi="ar"/>
        </w:rPr>
        <w:t xml:space="preserve">, </w:t>
      </w:r>
      <w:r>
        <w:rPr>
          <w:rFonts w:hint="default" w:ascii="Times New Roman" w:hAnsi="Times New Roman" w:eastAsia="Calibri" w:cs="Times New Roman"/>
          <w:i/>
          <w:iCs/>
          <w:kern w:val="0"/>
          <w:sz w:val="24"/>
          <w:szCs w:val="24"/>
          <w:lang w:val="en-US" w:eastAsia="zh-CN" w:bidi="ar"/>
        </w:rPr>
        <w:t>0123456789</w:t>
      </w:r>
      <w:r>
        <w:rPr>
          <w:rFonts w:hint="default" w:ascii="Times New Roman" w:hAnsi="Times New Roman" w:eastAsia="Calibri" w:cs="Times New Roman"/>
          <w:kern w:val="0"/>
          <w:sz w:val="24"/>
          <w:szCs w:val="24"/>
          <w:lang w:val="en-US" w:eastAsia="zh-CN" w:bidi="ar"/>
        </w:rPr>
        <w:t>. https://doi.org/10.1007/s40808-019-00652-5</w:t>
      </w:r>
    </w:p>
    <w:p>
      <w:pPr>
        <w:keepNext w:val="0"/>
        <w:keepLines w:val="0"/>
        <w:widowControl/>
        <w:suppressLineNumbers w:val="0"/>
        <w:spacing w:before="0" w:beforeAutospacing="0" w:after="160" w:afterAutospacing="0" w:line="256" w:lineRule="auto"/>
        <w:ind w:left="0" w:right="0"/>
        <w:jc w:val="both"/>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kern w:val="0"/>
          <w:sz w:val="24"/>
          <w:szCs w:val="24"/>
          <w:lang w:val="en-US" w:eastAsia="zh-CN" w:bidi="ar"/>
        </w:rPr>
        <w:fldChar w:fldCharType="end"/>
      </w:r>
      <w:r>
        <w:rPr>
          <w:rFonts w:hint="default" w:ascii="Times New Roman" w:hAnsi="Times New Roman" w:eastAsia="Times New Roman" w:cs="Times New Roman"/>
          <w:color w:val="000000"/>
          <w:kern w:val="0"/>
          <w:sz w:val="24"/>
          <w:szCs w:val="24"/>
          <w:lang w:val="en-US" w:eastAsia="zh-CN" w:bidi="ar"/>
        </w:rPr>
        <w:t>Cammarano D, Fitzgerald GJ, Casa R, Basso B (2014) Assessing the robustness of vegetation indices to estimate wheat N in Mediterranean environments. Remote Sens 6(4):2827–2844</w:t>
      </w:r>
    </w:p>
    <w:p>
      <w:pPr>
        <w:keepNext w:val="0"/>
        <w:keepLines w:val="0"/>
        <w:widowControl/>
        <w:suppressLineNumbers w:val="0"/>
        <w:spacing w:before="0" w:beforeAutospacing="0" w:after="0" w:afterAutospacing="0" w:line="240" w:lineRule="auto"/>
        <w:ind w:left="0" w:right="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color w:val="000000"/>
          <w:kern w:val="0"/>
          <w:sz w:val="24"/>
          <w:szCs w:val="24"/>
          <w:lang w:val="en-US" w:eastAsia="zh-CN" w:bidi="ar"/>
        </w:rPr>
        <w:t>Ciesla WM (2000) Remote sensing in forest health protection (No. 3). US Department of Agriculture, Forest Service, Forest Health Technology Enterprise Team</w:t>
      </w:r>
    </w:p>
    <w:p>
      <w:pPr>
        <w:jc w:val="both"/>
        <w:rPr>
          <w:rFonts w:ascii="Times New Roman" w:hAnsi="Times New Roman" w:cs="Times New Roman"/>
        </w:rPr>
      </w:pPr>
    </w:p>
    <w:p>
      <w:pPr>
        <w:jc w:val="both"/>
        <w:rPr>
          <w:rFonts w:ascii="Times New Roman" w:hAnsi="Times New Roman" w:cs="Times New Roman"/>
          <w:b/>
          <w:bCs/>
          <w:sz w:val="24"/>
          <w:szCs w:val="24"/>
        </w:rPr>
      </w:pPr>
      <w:r>
        <w:rPr>
          <w:rFonts w:ascii="Times New Roman" w:hAnsi="Times New Roman" w:cs="Times New Roman"/>
          <w:b/>
          <w:bCs/>
          <w:sz w:val="24"/>
          <w:szCs w:val="24"/>
        </w:rPr>
        <w:t>Study Area:</w:t>
      </w:r>
    </w:p>
    <w:p>
      <w:pPr>
        <w:jc w:val="both"/>
        <w:rPr>
          <w:rFonts w:ascii="Times New Roman" w:hAnsi="Times New Roman" w:cs="Times New Roman"/>
          <w:sz w:val="24"/>
          <w:szCs w:val="24"/>
        </w:rPr>
      </w:pPr>
      <w:r>
        <w:rPr>
          <w:rFonts w:ascii="Times New Roman" w:hAnsi="Times New Roman" w:cs="Times New Roman"/>
          <w:sz w:val="24"/>
          <w:szCs w:val="24"/>
        </w:rPr>
        <w:t xml:space="preserve">The support of innumerable life forms and trees which buffer the land surface both consist of the ecosystem in a forest. In Bangladesh, measuring the forest land of more than 0.5 hectares with trees higher than 5 meters and their canopy cover of more than 10 percent, or these thresholds in situ can be capable to attain the trees (FRA, 2015). Madhupur Reserve Forest is located in the central part of Bangladesh and concerning the tropical moist climate, Madhupur Reserved Forest grants dense vegetation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{"citationItems":[{"id":"ITEM-1","itemData":{"DOI":"10.1016/j.jep.2013.11.056","ISSN":"18727573","PMID":"24342778","abstract":"Ethnopharmacological relevance Madhupur forest area, Tangail is one of early human settlements in Bangladesh. Having abode in the vicinity of the forest, a strong ethnobotanical practice has prevailed in this area since ancient time. Due to the rapid deforestation during the last few decades, many plants have already disappeared or are facing extinction. Thus we attempted to document the medicinal plant use of Madhupur forest area with a view to preserve the ethnobotanical knowledge and in order to protect the biodiversity of this area. Materials and methods The fieldwork was conducted during a period of 1 year. Data was collected by interview, questionnaire, and group discussion with randomly selected informants including indigenous, tribal people, and Traditional Health Practitioners (THPs) living in the study area. Recorded plants are listed along with their indication, part used, form of preparation and use value (UV). Results were also analysed to determine informant consensus factor (ICF) and fidelity level (FL) of the plants on the basis of their use under various ailment categories. Results The present study has documented 78 medicinal plant species from 45 families used for the treatment of at least 77 different major and minor ailments and conditions. Medicinal plant species were categorised as tree, shrub, tuber, herb, and climber. Leaves were found to be the most frequently used plant part while decoction is the major form of preparation. In most cases preparations are either administered orally or applied topically. Conclusion The present study revealed that some of the well-known medicinal plants are used extensively demonstrating an effective ethnobotanical practice in the study area. Plants with high ICF and FL values can be subjected to bioassay guided investigation while plants which scored low UVs require bioactivity screening to justify their use for the reported ailment. © 2013 Elsevier Ireland Ltd.","author":[{"dropping-particle":"","family":"Islam","given":"Md Khirul","non-dropping-particle":"","parse-names":false,"suffix":""},{"dropping-particle":"","family":"Saha","given":"Sanjib","non-dropping-particle":"","parse-names":false,"suffix":""},{"dropping-particle":"","family":"Mahmud","given":"Imran","non-dropping-particle":"","parse-names":false,"suffix":""},{"dropping-particle":"","family":"Mohamad","given":"Khalit","non-dropping-particle":"","parse-names":false,"suffix":""},{"dropping-particle":"","family":"Awang","given":"Khalijah","non-dropping-particle":"","parse-names":false,"suffix":""},{"dropping-particle":"","family":"Jamal Uddin","given":"Shaikh","non-dropping-particle":"","parse-names":false,"suffix":""},{"dropping-particle":"","family":"Rahman","given":"Md Mustafizur","non-dropping-particle":"","parse-names":false,"suffix":""},{"dropping-particle":"","family":"Shilpi","given":"Jamil A.","non-dropping-particle":"","parse-names":false,"suffix":""}],"container-title":"Journal of Ethnopharmacology","id":"ITEM-1","issue":"2","issued":{"date-parts":[["2014"]]},"page":"921-930","publisher":"Elsevier","title":"An ethnobotanical study of medicinal plants used by tribal and native people of Madhupur forest area, Bangladesh","type":"article-journal","volume":"151"},"uris":["http://www.mendeley.com/documents/?uuid=7340ee69-d847-4294-8f17-451a3de0f76d"]}],"mendeley":{"formattedCitation":"(Islam et al., 2014)","plainTextFormattedCitation":"(Islam et al., 2014)","previouslyFormattedCitation":"(Islam et al., 2014)"},"properties":{"noteIndex":0},"schema":"https://github.com/citation-style-language/schema/raw/master/csl-citation.json"}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(Islam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It is situated at Madhupur Upazila between 24°45' North and 90°05' East and about 125 km away from Dhaka on the Mymensingh-Tangail highway in the district of Tangail and covering an area of 8,436 ha (20,850 acres). The forest is about 20 m beyond the mean sea level. This forest is also known as ‘Madhupur Garh’ and over the contiguous plains, Madhupur forest is elevated about 1–2 m in height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{"citationItems":[{"id":"ITEM-1","itemData":{"DOI":"10.1016/j.jep.2013.11.056","ISSN":"18727573","PMID":"24342778","abstract":"Ethnopharmacological relevance Madhupur forest area, Tangail is one of early human settlements in Bangladesh. Having abode in the vicinity of the forest, a strong ethnobotanical practice has prevailed in this area since ancient time. Due to the rapid deforestation during the last few decades, many plants have already disappeared or are facing extinction. Thus we attempted to document the medicinal plant use of Madhupur forest area with a view to preserve the ethnobotanical knowledge and in order to protect the biodiversity of this area. Materials and methods The fieldwork was conducted during a period of 1 year. Data was collected by interview, questionnaire, and group discussion with randomly selected informants including indigenous, tribal people, and Traditional Health Practitioners (THPs) living in the study area. Recorded plants are listed along with their indication, part used, form of preparation and use value (UV). Results were also analysed to determine informant consensus factor (ICF) and fidelity level (FL) of the plants on the basis of their use under various ailment categories. Results The present study has documented 78 medicinal plant species from 45 families used for the treatment of at least 77 different major and minor ailments and conditions. Medicinal plant species were categorised as tree, shrub, tuber, herb, and climber. Leaves were found to be the most frequently used plant part while decoction is the major form of preparation. In most cases preparations are either administered orally or applied topically. Conclusion The present study revealed that some of the well-known medicinal plants are used extensively demonstrating an effective ethnobotanical practice in the study area. Plants with high ICF and FL values can be subjected to bioassay guided investigation while plants which scored low UVs require bioactivity screening to justify their use for the reported ailment. © 2013 Elsevier Ireland Ltd.","author":[{"dropping-particle":"","family":"Islam","given":"Md Khirul","non-dropping-particle":"","parse-names":false,"suffix":""},{"dropping-particle":"","family":"Saha","given":"Sanjib","non-dropping-particle":"","parse-names":false,"suffix":""},{"dropping-particle":"","family":"Mahmud","given":"Imran","non-dropping-particle":"","parse-names":false,"suffix":""},{"dropping-particle":"","family":"Mohamad","given":"Khalit","non-dropping-particle":"","parse-names":false,"suffix":""},{"dropping-particle":"","family":"Awang","given":"Khalijah","non-dropping-particle":"","parse-names":false,"suffix":""},{"dropping-particle":"","family":"Jamal Uddin","given":"Shaikh","non-dropping-particle":"","parse-names":false,"suffix":""},{"dropping-particle":"","family":"Rahman","given":"Md Mustafizur","non-dropping-particle":"","parse-names":false,"suffix":""},{"dropping-particle":"","family":"Shilpi","given":"Jamil A.","non-dropping-particle":"","parse-names":false,"suffix":""}],"container-title":"Journal of Ethnopharmacology","id":"ITEM-1","issue":"2","issued":{"date-parts":[["2014"]]},"page":"921-930","publisher":"Elsevier","title":"An ethnobotanical study of medicinal plants used by tribal and native people of Madhupur forest area, Bangladesh","type":"article-journal","volume":"151"},"uris":["http://www.mendeley.com/documents/?uuid=7340ee69-d847-4294-8f17-451a3de0f76d"]}],"mendeley":{"formattedCitation":"(Islam et al., 2014)","plainTextFormattedCitation":"(Islam et al., 2014)","previouslyFormattedCitation":"(Islam et al., 2014)"},"properties":{"noteIndex":0},"schema":"https://github.com/citation-style-language/schema/raw/master/csl-citation.json"}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(Islam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By increasing human actions the forest area faces retrenchment in a further in size in coming years increased (Banglapedia, 2003). The area contains the Indian Subcontinent of the monsoon climate typical. The average annual rainfall is 2650 mm in the forest region. Respectively, the maximum and minimum annual temperatures are 33.8 and 11.6 1C. The relative humidity annually ranges average of between 22.8%  and 97.4%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{"citationItems":[{"id":"ITEM-1","itemData":{"DOI":"10.1016/j.jep.2013.11.056","ISSN":"18727573","PMID":"24342778","abstract":"Ethnopharmacological relevance Madhupur forest area, Tangail is one of early human settlements in Bangladesh. Having abode in the vicinity of the forest, a strong ethnobotanical practice has prevailed in this area since ancient time. Due to the rapid deforestation during the last few decades, many plants have already disappeared or are facing extinction. Thus we attempted to document the medicinal plant use of Madhupur forest area with a view to preserve the ethnobotanical knowledge and in order to protect the biodiversity of this area. Materials and methods The fieldwork was conducted during a period of 1 year. Data was collected by interview, questionnaire, and group discussion with randomly selected informants including indigenous, tribal people, and Traditional Health Practitioners (THPs) living in the study area. Recorded plants are listed along with their indication, part used, form of preparation and use value (UV). Results were also analysed to determine informant consensus factor (ICF) and fidelity level (FL) of the plants on the basis of their use under various ailment categories. Results The present study has documented 78 medicinal plant species from 45 families used for the treatment of at least 77 different major and minor ailments and conditions. Medicinal plant species were categorised as tree, shrub, tuber, herb, and climber. Leaves were found to be the most frequently used plant part while decoction is the major form of preparation. In most cases preparations are either administered orally or applied topically. Conclusion The present study revealed that some of the well-known medicinal plants are used extensively demonstrating an effective ethnobotanical practice in the study area. Plants with high ICF and FL values can be subjected to bioassay guided investigation while plants which scored low UVs require bioactivity screening to justify their use for the reported ailment. © 2013 Elsevier Ireland Ltd.","author":[{"dropping-particle":"","family":"Islam","given":"Md Khirul","non-dropping-particle":"","parse-names":false,"suffix":""},{"dropping-particle":"","family":"Saha","given":"Sanjib","non-dropping-particle":"","parse-names":false,"suffix":""},{"dropping-particle":"","family":"Mahmud","given":"Imran","non-dropping-particle":"","parse-names":false,"suffix":""},{"dropping-particle":"","family":"Mohamad","given":"Khalit","non-dropping-particle":"","parse-names":false,"suffix":""},{"dropping-particle":"","family":"Awang","given":"Khalijah","non-dropping-particle":"","parse-names":false,"suffix":""},{"dropping-particle":"","family":"Jamal Uddin","given":"Shaikh","non-dropping-particle":"","parse-names":false,"suffix":""},{"dropping-particle":"","family":"Rahman","given":"Md Mustafizur","non-dropping-particle":"","parse-names":false,"suffix":""},{"dropping-particle":"","family":"Shilpi","given":"Jamil A.","non-dropping-particle":"","parse-names":false,"suffix":""}],"container-title":"Journal of Ethnopharmacology","id":"ITEM-1","issue":"2","issued":{"date-parts":[["2014"]]},"page":"921-930","publisher":"Elsevier","title":"An ethnobotanical study of medicinal plants used by tribal and native people of Madhupur forest area, Bangladesh","type":"article-journal","volume":"151"},"uris":["http://www.mendeley.com/documents/?uuid=7340ee69-d847-4294-8f17-451a3de0f76d"]}],"mendeley":{"formattedCitation":"(Islam et al., 2014)","plainTextFormattedCitation":"(Islam et al., 2014)"},"properties":{"noteIndex":0},"schema":"https://github.com/citation-style-language/schema/raw/master/csl-citation.json"}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(Islam et al., 2014)</w:t>
      </w:r>
      <w:r>
        <w:rPr>
          <w:rFonts w:ascii="Times New Roman" w:hAnsi="Times New Roman" w:cs="Times New Roman"/>
          <w:sz w:val="24"/>
          <w:szCs w:val="24"/>
        </w:rPr>
        <w:fldChar w:fldCharType="end"/>
      </w:r>
      <w:r>
        <w:rPr>
          <w:rFonts w:ascii="Times New Roman" w:hAnsi="Times New Roman" w:cs="Times New Roman"/>
          <w:sz w:val="24"/>
          <w:szCs w:val="24"/>
        </w:rPr>
        <w:t>.</w:t>
      </w:r>
    </w:p>
    <w:p>
      <w:pPr>
        <w:spacing w:line="276" w:lineRule="auto"/>
        <w:jc w:val="both"/>
        <w:rPr>
          <w:rFonts w:ascii="Times New Roman" w:hAnsi="Times New Roman" w:eastAsia="Calibri"/>
          <w:b/>
          <w:bCs/>
          <w:sz w:val="24"/>
          <w:szCs w:val="24"/>
        </w:rPr>
      </w:pPr>
      <w:r>
        <w:rPr>
          <w:rFonts w:ascii="Times New Roman" w:hAnsi="Times New Roman" w:eastAsia="Calibri"/>
          <w:b/>
          <w:bCs/>
          <w:sz w:val="24"/>
          <w:szCs w:val="24"/>
        </w:rPr>
        <w:t>General Forest Health Indices:</w:t>
      </w:r>
    </w:p>
    <w:p>
      <w:pPr>
        <w:spacing w:line="276" w:lineRule="auto"/>
        <w:jc w:val="both"/>
        <w:rPr>
          <w:rFonts w:ascii="Times New Roman" w:hAnsi="Times New Roman"/>
        </w:rPr>
      </w:pPr>
      <w:r>
        <w:rPr>
          <w:rFonts w:ascii="Times New Roman" w:hAnsi="Times New Roman"/>
          <w:sz w:val="24"/>
          <w:szCs w:val="24"/>
        </w:rPr>
        <w:t>Vegetation Indices which are extracted through the data means these can measure the forest health condition by means of remote sensing elements. Two or more wavelengths are schematized for highlighting particular characteristics of vegetation of surface reflectance which combine the VIs. The reflectance characteristics of vegetation are evolved dealing by them (“Geoscience And Remote Sensing,” 2008). In remote sensing, evaluating forest health conditions VIs perform an emergent role (Ahmad et al., 2020). RED and NIR spectral wavebands are the most familiar Vis to evaluate the forest health (Richardson &amp; Everitt, 1992). VIs increase the contrast level among soil and vegetation on the other side the enlightenment situations have reduced the effects (Zarate-Valdez et al., 2015).</w:t>
      </w:r>
      <w:r>
        <w:rPr>
          <w:rFonts w:ascii="Times New Roman" w:hAnsi="Times New Roman"/>
        </w:rPr>
        <w:t xml:space="preserve"> </w:t>
      </w:r>
    </w:p>
    <w:p>
      <w:pPr>
        <w:spacing w:after="0" w:line="360" w:lineRule="auto"/>
        <w:jc w:val="both"/>
        <w:rPr>
          <w:rFonts w:ascii="Times New Roman" w:hAnsi="Times New Roman"/>
          <w:b/>
          <w:bCs/>
          <w:sz w:val="24"/>
          <w:szCs w:val="24"/>
        </w:rPr>
      </w:pPr>
      <w:r>
        <w:rPr>
          <w:rFonts w:ascii="Times New Roman" w:hAnsi="Times New Roman"/>
          <w:b/>
          <w:bCs/>
          <w:sz w:val="24"/>
          <w:szCs w:val="24"/>
        </w:rPr>
        <w:t>NDVI:</w:t>
      </w:r>
    </w:p>
    <w:p>
      <w:pPr>
        <w:spacing w:after="0" w:line="360" w:lineRule="auto"/>
        <w:jc w:val="both"/>
        <w:rPr>
          <w:rFonts w:ascii="Times New Roman" w:hAnsi="Times New Roman" w:eastAsia="Calibri"/>
          <w:sz w:val="24"/>
          <w:szCs w:val="24"/>
        </w:rPr>
      </w:pPr>
      <w:r>
        <w:rPr>
          <w:rFonts w:ascii="Times New Roman" w:hAnsi="Times New Roman" w:eastAsia="Calibri"/>
          <w:sz w:val="24"/>
          <w:szCs w:val="24"/>
        </w:rPr>
        <w:t xml:space="preserve">Generally, in a forest health index there uses the NDVI index. </w:t>
      </w:r>
      <w:r>
        <w:rPr>
          <w:rFonts w:ascii="Times New Roman" w:hAnsi="Times New Roman"/>
          <w:sz w:val="24"/>
          <w:szCs w:val="24"/>
        </w:rPr>
        <w:t>Though the NDVI index facing the complication to observe the saturation level with high dense vegetation and non-linearity, it can identify the chlorophyll content and defoliation (“Geoscience And Remote Sensing,” 2008). Detecting and controlling the continuous or unexpected variation in forest health there can use the NDVI time series to explore the long-term changes (Wang et al., 2021)</w:t>
      </w:r>
      <w:r>
        <w:rPr>
          <w:rFonts w:ascii="Times New Roman" w:hAnsi="Times New Roman" w:eastAsia="Calibri"/>
          <w:sz w:val="24"/>
          <w:szCs w:val="24"/>
        </w:rPr>
        <w:t xml:space="preserve">. In the images, the NDVI data are repeatedly familiar for the maximum composite which is used to decrease the impact in the atmospheric effect (Holben, 1986). However, in VI there mostly used NDVI index and it is well-known to all. The reflectance peak is evaluated at the NIR region by </w:t>
      </w:r>
      <w:r>
        <w:rPr>
          <w:rFonts w:ascii="Times New Roman" w:hAnsi="Times New Roman"/>
          <w:sz w:val="24"/>
          <w:szCs w:val="24"/>
        </w:rPr>
        <w:t>it and for measuring the green vegetation NDVI is mostly suitable (Jiang et al., 2006)</w:t>
      </w:r>
      <w:r>
        <w:rPr>
          <w:rFonts w:ascii="Times New Roman" w:hAnsi="Times New Roman" w:eastAsia="Calibri"/>
          <w:sz w:val="24"/>
          <w:szCs w:val="24"/>
        </w:rPr>
        <w:t>. The ratio of Red and NIR bands can be measured by using the NDVI of a sensor system. The formula for NDVI calculation is shown in equation:</w:t>
      </w:r>
    </w:p>
    <w:p>
      <w:pPr>
        <w:spacing w:after="0" w:line="360" w:lineRule="auto"/>
        <w:jc w:val="center"/>
        <w:rPr>
          <w:rFonts w:ascii="Times New Roman" w:hAnsi="Times New Roman" w:eastAsia="Calibri"/>
          <w:b/>
          <w:bCs/>
          <w:sz w:val="24"/>
          <w:szCs w:val="24"/>
        </w:rPr>
      </w:pPr>
      <w:r>
        <w:rPr>
          <w:rFonts w:ascii="Times New Roman" w:hAnsi="Times New Roman" w:eastAsia="Calibri"/>
          <w:b/>
          <w:bCs/>
          <w:sz w:val="24"/>
          <w:szCs w:val="24"/>
        </w:rPr>
        <w:t xml:space="preserve">NDVI = </w:t>
      </w:r>
      <w:r>
        <w:rPr>
          <w:rFonts w:ascii="Times New Roman" w:hAnsi="Times New Roman" w:eastAsia="Calibri"/>
          <w:b/>
          <w:bCs/>
          <w:sz w:val="24"/>
          <w:szCs w:val="24"/>
          <w:shd w:val="clear" w:color="auto" w:fill="FFFFFF"/>
        </w:rPr>
        <w:t>(NIR - R) / (NIR + R)</w:t>
      </w:r>
    </w:p>
    <w:p>
      <w:pPr>
        <w:spacing w:line="360" w:lineRule="auto"/>
        <w:jc w:val="both"/>
        <w:rPr>
          <w:rFonts w:ascii="Times New Roman" w:hAnsi="Times New Roman"/>
          <w:b/>
          <w:bCs/>
          <w:sz w:val="24"/>
          <w:szCs w:val="24"/>
        </w:rPr>
      </w:pPr>
      <w:r>
        <w:rPr>
          <w:rFonts w:ascii="Times New Roman" w:hAnsi="Times New Roman"/>
          <w:b/>
          <w:bCs/>
          <w:sz w:val="24"/>
          <w:szCs w:val="24"/>
        </w:rPr>
        <w:t>EVI:</w:t>
      </w:r>
    </w:p>
    <w:p>
      <w:pPr>
        <w:spacing w:after="0" w:line="360" w:lineRule="auto"/>
        <w:jc w:val="both"/>
        <w:rPr>
          <w:rFonts w:ascii="Times New Roman" w:hAnsi="Times New Roman" w:eastAsia="Calibri"/>
          <w:sz w:val="24"/>
          <w:szCs w:val="24"/>
        </w:rPr>
      </w:pPr>
      <w:r>
        <w:rPr>
          <w:rFonts w:ascii="Times New Roman" w:hAnsi="Times New Roman"/>
          <w:sz w:val="24"/>
          <w:szCs w:val="24"/>
        </w:rPr>
        <w:t xml:space="preserve">As in densely vegetated regions, NDVI saturates more (Huete et al., 1997) so that to conquer this difficulty in the background soil and atmospheric distraction the blue reflectance is used.  dense vegetation areas there can use the Enhanced Vegetation Index (EVI) because this index consists of the blue reflectance (“Geoscience And Remote Sensing,” 2008). For a giver year, there </w:t>
      </w:r>
      <w:r>
        <w:rPr>
          <w:rFonts w:ascii="Times New Roman" w:hAnsi="Times New Roman"/>
          <w:sz w:val="24"/>
          <w:szCs w:val="24"/>
          <w:shd w:val="clear" w:color="auto" w:fill="FFFFFF"/>
        </w:rPr>
        <w:t xml:space="preserve">expressing </w:t>
      </w:r>
      <w:r>
        <w:rPr>
          <w:rFonts w:ascii="Times New Roman" w:hAnsi="Times New Roman"/>
          <w:sz w:val="24"/>
          <w:szCs w:val="24"/>
        </w:rPr>
        <w:t>with the aid of using</w:t>
      </w:r>
      <w:r>
        <w:rPr>
          <w:rFonts w:ascii="Times New Roman" w:hAnsi="Times New Roman"/>
          <w:sz w:val="24"/>
          <w:szCs w:val="24"/>
          <w:shd w:val="clear" w:color="auto" w:fill="FFFFFF"/>
        </w:rPr>
        <w:t xml:space="preserve"> </w:t>
      </w:r>
      <w:r>
        <w:rPr>
          <w:rFonts w:ascii="Times New Roman" w:hAnsi="Times New Roman"/>
          <w:sz w:val="24"/>
          <w:szCs w:val="24"/>
        </w:rPr>
        <w:t xml:space="preserve">gradually </w:t>
      </w:r>
      <w:r>
        <w:rPr>
          <w:rFonts w:ascii="Times New Roman" w:hAnsi="Times New Roman"/>
          <w:sz w:val="24"/>
          <w:szCs w:val="24"/>
          <w:shd w:val="clear" w:color="auto" w:fill="FFFFFF"/>
        </w:rPr>
        <w:t xml:space="preserve">EVI values from </w:t>
      </w:r>
      <w:r>
        <w:rPr>
          <w:rFonts w:ascii="Times New Roman" w:hAnsi="Times New Roman"/>
          <w:sz w:val="24"/>
          <w:szCs w:val="24"/>
        </w:rPr>
        <w:t>the start</w:t>
      </w:r>
      <w:r>
        <w:rPr>
          <w:rFonts w:ascii="Times New Roman" w:hAnsi="Times New Roman"/>
          <w:sz w:val="24"/>
          <w:szCs w:val="24"/>
          <w:shd w:val="clear" w:color="auto" w:fill="FFFFFF"/>
        </w:rPr>
        <w:t xml:space="preserve"> to </w:t>
      </w:r>
      <w:r>
        <w:rPr>
          <w:rFonts w:ascii="Times New Roman" w:hAnsi="Times New Roman"/>
          <w:sz w:val="24"/>
          <w:szCs w:val="24"/>
        </w:rPr>
        <w:t>cease</w:t>
      </w:r>
      <w:r>
        <w:rPr>
          <w:rFonts w:ascii="Times New Roman" w:hAnsi="Times New Roman"/>
          <w:sz w:val="24"/>
          <w:szCs w:val="24"/>
          <w:shd w:val="clear" w:color="auto" w:fill="FFFFFF"/>
        </w:rPr>
        <w:t xml:space="preserve"> of the dry season (four-five months), are controversial, the </w:t>
      </w:r>
      <w:r>
        <w:rPr>
          <w:rFonts w:ascii="Times New Roman" w:hAnsi="Times New Roman"/>
          <w:sz w:val="24"/>
          <w:szCs w:val="24"/>
        </w:rPr>
        <w:t>reasons</w:t>
      </w:r>
      <w:r>
        <w:rPr>
          <w:rFonts w:ascii="Times New Roman" w:hAnsi="Times New Roman"/>
          <w:sz w:val="24"/>
          <w:szCs w:val="24"/>
          <w:shd w:val="clear" w:color="auto" w:fill="FFFFFF"/>
        </w:rPr>
        <w:t xml:space="preserve"> for the apparent “green-up” </w:t>
      </w:r>
      <w:r>
        <w:rPr>
          <w:rFonts w:ascii="Times New Roman" w:hAnsi="Times New Roman"/>
          <w:sz w:val="24"/>
          <w:szCs w:val="24"/>
        </w:rPr>
        <w:t>withinside the</w:t>
      </w:r>
      <w:r>
        <w:rPr>
          <w:rFonts w:ascii="Times New Roman" w:hAnsi="Times New Roman"/>
          <w:sz w:val="24"/>
          <w:szCs w:val="24"/>
          <w:shd w:val="clear" w:color="auto" w:fill="FFFFFF"/>
        </w:rPr>
        <w:t xml:space="preserve"> absence of precipitation</w:t>
      </w:r>
      <w:r>
        <w:rPr>
          <w:rFonts w:ascii="Times New Roman" w:hAnsi="Times New Roman"/>
          <w:sz w:val="24"/>
          <w:szCs w:val="24"/>
        </w:rPr>
        <w:t xml:space="preserve"> (Galvão et al., 2011). To see the future scenarios of numerous and intense physical hazards as a result of climate change, there further realization of dry season inconstancy in EVI is playing a vital role in tropical forest resilience (Malhi et al., 2008). Therefore,</w:t>
      </w:r>
      <w:r>
        <w:rPr>
          <w:rFonts w:ascii="Times New Roman" w:hAnsi="Times New Roman"/>
          <w:sz w:val="24"/>
          <w:szCs w:val="24"/>
          <w:shd w:val="clear" w:color="auto" w:fill="FFFFFF"/>
        </w:rPr>
        <w:t xml:space="preserve"> the exceeding experiment </w:t>
      </w:r>
      <w:r>
        <w:rPr>
          <w:rFonts w:ascii="Times New Roman" w:hAnsi="Times New Roman"/>
          <w:sz w:val="24"/>
          <w:szCs w:val="24"/>
        </w:rPr>
        <w:t>is desiderated</w:t>
      </w:r>
      <w:r>
        <w:rPr>
          <w:rFonts w:ascii="Times New Roman" w:hAnsi="Times New Roman"/>
          <w:sz w:val="24"/>
          <w:szCs w:val="24"/>
          <w:shd w:val="clear" w:color="auto" w:fill="FFFFFF"/>
        </w:rPr>
        <w:t xml:space="preserve"> to compare field calculations with </w:t>
      </w:r>
      <w:r>
        <w:rPr>
          <w:rFonts w:ascii="Times New Roman" w:hAnsi="Times New Roman"/>
          <w:sz w:val="24"/>
          <w:szCs w:val="24"/>
        </w:rPr>
        <w:t>several</w:t>
      </w:r>
      <w:r>
        <w:rPr>
          <w:rFonts w:ascii="Times New Roman" w:hAnsi="Times New Roman"/>
          <w:sz w:val="24"/>
          <w:szCs w:val="24"/>
          <w:shd w:val="clear" w:color="auto" w:fill="FFFFFF"/>
        </w:rPr>
        <w:t xml:space="preserve"> remote sensing </w:t>
      </w:r>
      <w:r>
        <w:rPr>
          <w:rFonts w:ascii="Times New Roman" w:hAnsi="Times New Roman"/>
          <w:sz w:val="24"/>
          <w:szCs w:val="24"/>
        </w:rPr>
        <w:t xml:space="preserve">evaluations (Brando et al., 2010). </w:t>
      </w:r>
      <w:r>
        <w:rPr>
          <w:rFonts w:ascii="Times New Roman" w:hAnsi="Times New Roman" w:eastAsia="Calibri"/>
          <w:sz w:val="24"/>
          <w:szCs w:val="24"/>
        </w:rPr>
        <w:t>The ratio of Red and NIR values can be calculated by using the EVI of a sensor system which may minimize the background or atmospheric noise.</w:t>
      </w:r>
      <w:r>
        <w:rPr>
          <w:rFonts w:eastAsia="Calibri"/>
        </w:rPr>
        <w:t xml:space="preserve"> </w:t>
      </w:r>
      <w:r>
        <w:rPr>
          <w:rFonts w:ascii="Times New Roman" w:hAnsi="Times New Roman" w:eastAsia="Calibri"/>
          <w:sz w:val="24"/>
          <w:szCs w:val="24"/>
        </w:rPr>
        <w:t>The formula for EVI calculation is shown in equation:</w:t>
      </w:r>
    </w:p>
    <w:p>
      <w:pPr>
        <w:pStyle w:val="7"/>
        <w:shd w:val="clear" w:color="auto" w:fill="FFFFFF"/>
        <w:spacing w:before="240" w:beforeAutospacing="0" w:after="0" w:afterAutospacing="0" w:line="360" w:lineRule="auto"/>
        <w:jc w:val="center"/>
        <w:rPr>
          <w:rFonts w:hint="default" w:hAnsi="Cambria Math" w:cs="Times New Roman"/>
          <w:b/>
          <w:bCs/>
          <w:i w:val="0"/>
          <w:sz w:val="24"/>
          <w:szCs w:val="24"/>
        </w:rPr>
      </w:pPr>
      <w:r>
        <w:rPr>
          <w:rStyle w:val="12"/>
          <w:rFonts w:hint="default" w:ascii="Times New Roman" w:hAnsi="Times New Roman" w:cs="Times New Roman"/>
          <w:b/>
          <w:bCs/>
          <w:color w:val="171717"/>
        </w:rPr>
        <w:t xml:space="preserve">EVI = </w:t>
      </w:r>
      <m:oMath>
        <m:f>
          <m:fPr>
            <m:ctrlPr>
              <w:rPr>
                <w:rFonts w:hint="default" w:ascii="Cambria Math" w:hAnsi="Cambria Math" w:cs="Times New Roman"/>
                <w:b/>
                <w:bCs/>
                <w:i/>
                <w:sz w:val="24"/>
                <w:szCs w:val="24"/>
              </w:rPr>
            </m:ctrlPr>
          </m:fPr>
          <m:num>
            <m:r>
              <m:rPr>
                <m:sty m:val="b"/>
              </m:rPr>
              <w:rPr>
                <w:rStyle w:val="12"/>
                <w:rFonts w:hint="default" w:ascii="Cambria Math" w:hAnsi="Cambria Math" w:cs="Times New Roman"/>
                <w:color w:val="171717"/>
                <w:sz w:val="24"/>
                <w:szCs w:val="24"/>
                <w:lang w:val="en-US"/>
              </w:rPr>
              <m:t xml:space="preserve">2.5 </m:t>
            </m:r>
            <m:r>
              <m:rPr>
                <m:sty m:val="b"/>
              </m:rPr>
              <w:rPr>
                <w:rStyle w:val="12"/>
                <w:rFonts w:hint="default" w:ascii="Cambria Math" w:hAnsi="Cambria Math" w:cs="Times New Roman"/>
                <w:color w:val="171717"/>
                <w:sz w:val="24"/>
                <w:szCs w:val="24"/>
              </w:rPr>
              <m:t>∗ (</m:t>
            </m:r>
            <m:r>
              <m:rPr>
                <m:sty m:val="b"/>
              </m:rPr>
              <w:rPr>
                <w:rStyle w:val="12"/>
                <w:rFonts w:hint="default" w:ascii="Cambria Math" w:hAnsi="Cambria Math" w:cs="Times New Roman"/>
                <w:color w:val="171717"/>
                <w:sz w:val="24"/>
                <w:szCs w:val="24"/>
                <w:lang w:val="en-US"/>
              </w:rPr>
              <m:t xml:space="preserve">Red </m:t>
            </m:r>
            <m:r>
              <m:rPr>
                <m:sty m:val="b"/>
              </m:rPr>
              <w:rPr>
                <w:rStyle w:val="12"/>
                <w:rFonts w:hint="default" w:ascii="Cambria Math" w:hAnsi="Cambria Math" w:cs="Times New Roman"/>
                <w:color w:val="171717"/>
                <w:sz w:val="24"/>
                <w:szCs w:val="24"/>
              </w:rPr>
              <m:t xml:space="preserve">− </m:t>
            </m:r>
            <m:r>
              <m:rPr>
                <m:sty m:val="b"/>
              </m:rPr>
              <w:rPr>
                <w:rStyle w:val="12"/>
                <w:rFonts w:hint="default" w:ascii="Cambria Math" w:hAnsi="Cambria Math" w:cs="Times New Roman"/>
                <w:color w:val="171717"/>
                <w:sz w:val="24"/>
                <w:szCs w:val="24"/>
                <w:lang w:val="en-US"/>
              </w:rPr>
              <m:t>Green</m:t>
            </m:r>
            <m:r>
              <m:rPr>
                <m:sty m:val="b"/>
              </m:rPr>
              <w:rPr>
                <w:rStyle w:val="12"/>
                <w:rFonts w:hint="default" w:ascii="Cambria Math" w:hAnsi="Cambria Math" w:cs="Times New Roman"/>
                <w:color w:val="171717"/>
                <w:sz w:val="24"/>
                <w:szCs w:val="24"/>
              </w:rPr>
              <m:t>)</m:t>
            </m:r>
            <m:ctrlPr>
              <w:rPr>
                <w:rFonts w:hint="default" w:ascii="Cambria Math" w:hAnsi="Cambria Math" w:cs="Times New Roman"/>
                <w:b/>
                <w:bCs/>
                <w:i/>
                <w:sz w:val="24"/>
                <w:szCs w:val="24"/>
              </w:rPr>
            </m:ctrlPr>
          </m:num>
          <m:den>
            <m:r>
              <m:rPr>
                <m:sty m:val="b"/>
              </m:rPr>
              <w:rPr>
                <w:rStyle w:val="12"/>
                <w:rFonts w:hint="default" w:ascii="Cambria Math" w:hAnsi="Cambria Math" w:cs="Times New Roman"/>
                <w:color w:val="171717"/>
                <w:sz w:val="24"/>
                <w:szCs w:val="24"/>
              </w:rPr>
              <m:t>(</m:t>
            </m:r>
            <m:r>
              <m:rPr>
                <m:sty m:val="b"/>
              </m:rPr>
              <w:rPr>
                <w:rStyle w:val="12"/>
                <w:rFonts w:hint="default" w:ascii="Cambria Math" w:hAnsi="Cambria Math" w:cs="Times New Roman"/>
                <w:color w:val="171717"/>
                <w:sz w:val="24"/>
                <w:szCs w:val="24"/>
                <w:lang w:val="en-US"/>
              </w:rPr>
              <m:t xml:space="preserve">Red </m:t>
            </m:r>
            <m:r>
              <m:rPr>
                <m:sty m:val="b"/>
              </m:rPr>
              <w:rPr>
                <w:rStyle w:val="12"/>
                <w:rFonts w:hint="default" w:ascii="Cambria Math" w:hAnsi="Cambria Math" w:cs="Times New Roman"/>
                <w:color w:val="171717"/>
                <w:sz w:val="24"/>
                <w:szCs w:val="24"/>
              </w:rPr>
              <m:t xml:space="preserve">+ </m:t>
            </m:r>
            <m:r>
              <m:rPr>
                <m:sty m:val="b"/>
              </m:rPr>
              <w:rPr>
                <w:rStyle w:val="12"/>
                <w:rFonts w:hint="default" w:ascii="Cambria Math" w:hAnsi="Cambria Math" w:cs="Times New Roman"/>
                <w:color w:val="171717"/>
                <w:sz w:val="24"/>
                <w:szCs w:val="24"/>
                <w:lang w:val="en-US"/>
              </w:rPr>
              <m:t xml:space="preserve">6 </m:t>
            </m:r>
            <m:r>
              <m:rPr>
                <m:sty m:val="b"/>
              </m:rPr>
              <w:rPr>
                <w:rStyle w:val="12"/>
                <w:rFonts w:hint="default" w:ascii="Cambria Math" w:hAnsi="Cambria Math" w:cs="Times New Roman"/>
                <w:color w:val="171717"/>
                <w:sz w:val="24"/>
                <w:szCs w:val="24"/>
              </w:rPr>
              <m:t xml:space="preserve">∗ </m:t>
            </m:r>
            <m:r>
              <m:rPr>
                <m:sty m:val="b"/>
              </m:rPr>
              <w:rPr>
                <w:rStyle w:val="12"/>
                <w:rFonts w:hint="default" w:ascii="Cambria Math" w:hAnsi="Cambria Math" w:cs="Times New Roman"/>
                <w:color w:val="171717"/>
                <w:sz w:val="24"/>
                <w:szCs w:val="24"/>
                <w:lang w:val="en-US"/>
              </w:rPr>
              <m:t>Green</m:t>
            </m:r>
            <m:r>
              <m:rPr>
                <m:sty m:val="b"/>
              </m:rPr>
              <w:rPr>
                <w:rStyle w:val="12"/>
                <w:rFonts w:hint="default" w:ascii="Cambria Math" w:hAnsi="Cambria Math" w:cs="Times New Roman"/>
                <w:color w:val="171717"/>
                <w:sz w:val="24"/>
                <w:szCs w:val="24"/>
              </w:rPr>
              <m:t xml:space="preserve"> – </m:t>
            </m:r>
            <m:r>
              <m:rPr>
                <m:sty m:val="b"/>
              </m:rPr>
              <w:rPr>
                <w:rStyle w:val="12"/>
                <w:rFonts w:hint="default" w:ascii="Cambria Math" w:hAnsi="Cambria Math" w:cs="Times New Roman"/>
                <w:color w:val="171717"/>
                <w:sz w:val="24"/>
                <w:szCs w:val="24"/>
                <w:lang w:val="en-US"/>
              </w:rPr>
              <m:t>7.5</m:t>
            </m:r>
            <m:r>
              <m:rPr>
                <m:sty m:val="b"/>
              </m:rPr>
              <w:rPr>
                <w:rStyle w:val="12"/>
                <w:rFonts w:hint="default" w:ascii="Cambria Math" w:hAnsi="Cambria Math" w:cs="Times New Roman"/>
                <w:color w:val="171717"/>
                <w:sz w:val="24"/>
                <w:szCs w:val="24"/>
              </w:rPr>
              <m:t xml:space="preserve"> ∗ </m:t>
            </m:r>
            <m:r>
              <m:rPr>
                <m:sty m:val="b"/>
              </m:rPr>
              <w:rPr>
                <w:rStyle w:val="12"/>
                <w:rFonts w:hint="default" w:ascii="Cambria Math" w:hAnsi="Cambria Math" w:cs="Times New Roman"/>
                <w:color w:val="171717"/>
                <w:sz w:val="24"/>
                <w:szCs w:val="24"/>
                <w:lang w:val="en-US"/>
              </w:rPr>
              <m:t>TIR</m:t>
            </m:r>
            <m:r>
              <m:rPr>
                <m:sty m:val="b"/>
              </m:rPr>
              <w:rPr>
                <w:rStyle w:val="12"/>
                <w:rFonts w:hint="default" w:ascii="Cambria Math" w:hAnsi="Cambria Math" w:cs="Times New Roman"/>
                <w:color w:val="171717"/>
                <w:sz w:val="24"/>
                <w:szCs w:val="24"/>
              </w:rPr>
              <m:t xml:space="preserve"> + </m:t>
            </m:r>
            <m:r>
              <m:rPr>
                <m:sty m:val="b"/>
              </m:rPr>
              <w:rPr>
                <w:rStyle w:val="12"/>
                <w:rFonts w:hint="default" w:ascii="Cambria Math" w:hAnsi="Cambria Math" w:cs="Times New Roman"/>
                <w:color w:val="171717"/>
                <w:sz w:val="24"/>
                <w:szCs w:val="24"/>
                <w:lang w:val="en-US"/>
              </w:rPr>
              <m:t>1</m:t>
            </m:r>
            <m:r>
              <m:rPr>
                <m:sty m:val="b"/>
              </m:rPr>
              <w:rPr>
                <w:rStyle w:val="12"/>
                <w:rFonts w:hint="default" w:ascii="Cambria Math" w:hAnsi="Cambria Math" w:cs="Times New Roman"/>
                <w:color w:val="171717"/>
                <w:sz w:val="24"/>
                <w:szCs w:val="24"/>
              </w:rPr>
              <m:t>)</m:t>
            </m:r>
            <m:ctrlPr>
              <w:rPr>
                <w:rFonts w:hint="default" w:ascii="Cambria Math" w:hAnsi="Cambria Math" w:cs="Times New Roman"/>
                <w:b/>
                <w:bCs/>
                <w:i/>
                <w:sz w:val="24"/>
                <w:szCs w:val="24"/>
              </w:rPr>
            </m:ctrlPr>
          </m:den>
        </m:f>
      </m:oMath>
    </w:p>
    <w:p>
      <w:pPr>
        <w:pStyle w:val="7"/>
        <w:shd w:val="clear" w:color="auto" w:fill="FFFFFF"/>
        <w:spacing w:before="240" w:beforeAutospacing="0" w:after="0" w:afterAutospacing="0" w:line="360" w:lineRule="auto"/>
        <w:jc w:val="center"/>
        <w:rPr>
          <w:rFonts w:hint="default" w:hAnsi="Cambria Math" w:cs="Times New Roman"/>
          <w:b/>
          <w:bCs/>
          <w:i w:val="0"/>
          <w:sz w:val="24"/>
          <w:szCs w:val="24"/>
        </w:rPr>
      </w:pPr>
    </w:p>
    <w:p>
      <w:pPr>
        <w:spacing w:after="0" w:line="240" w:lineRule="auto"/>
        <w:rPr>
          <w:rFonts w:ascii="Times New Roman" w:hAnsi="Times New Roman"/>
          <w:b/>
          <w:bCs/>
          <w:sz w:val="24"/>
          <w:szCs w:val="24"/>
        </w:rPr>
      </w:pPr>
      <w:r>
        <w:rPr>
          <w:rFonts w:ascii="Times New Roman" w:hAnsi="Times New Roman"/>
          <w:b/>
          <w:bCs/>
          <w:sz w:val="24"/>
          <w:szCs w:val="24"/>
        </w:rPr>
        <w:t>Bareness Index:</w:t>
      </w:r>
    </w:p>
    <w:p>
      <w:pPr>
        <w:spacing w:after="0" w:line="240" w:lineRule="auto"/>
        <w:rPr>
          <w:rFonts w:ascii="Times New Roman" w:hAnsi="Times New Roman"/>
          <w:b/>
          <w:bCs/>
          <w:sz w:val="24"/>
          <w:szCs w:val="24"/>
        </w:rPr>
      </w:pPr>
    </w:p>
    <w:p>
      <w:pPr>
        <w:keepNext w:val="0"/>
        <w:keepLines w:val="0"/>
        <w:widowControl/>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eastAsia="Times-Roman3"/>
          <w:color w:val="000000"/>
          <w:kern w:val="0"/>
          <w:sz w:val="24"/>
          <w:szCs w:val="24"/>
          <w:lang w:val="en-US" w:eastAsia="zh-CN"/>
        </w:rPr>
        <w:t>The NDBaI algorithm is used to distinguish between urban and open surfaces. Because bare soil is so important in any ecosystem's ability to maintain its capacity (Zhao and Chen 2005; Li and Chen 2014). NDBaI reflects spectral signatures based on various soil background parameters and their relationship (Pal et al. 2018). This index not only helps to understand the impact of landform, topography, and anthropogenic impacts on vegetation, but it also helps to understand the impact of landform, topography, and anthropogenic impacts (Zhao and Chen 2005, Chen et al. 2006; Poggi et al. 2004; Andersen et al. 2005). Indicating the degree of bareness, greater NDBaI values indicate fully bare surfaces and built-up inurban regions, whilst lower values indicate places with vegetation cover.</w:t>
      </w:r>
    </w:p>
    <w:p>
      <w:pPr>
        <w:keepNext w:val="0"/>
        <w:keepLines w:val="0"/>
        <w:widowControl/>
        <w:suppressLineNumbers w:val="0"/>
        <w:spacing w:before="0" w:beforeAutospacing="1" w:after="160" w:afterAutospacing="0" w:line="254" w:lineRule="auto"/>
        <w:ind w:left="0" w:right="0"/>
        <w:jc w:val="center"/>
        <w:rPr>
          <w:rFonts w:hint="default" w:ascii="Times New Roman" w:hAnsi="Times New Roman" w:cs="Times New Roman"/>
          <w:sz w:val="24"/>
          <w:szCs w:val="24"/>
          <w:lang w:val="en-US"/>
        </w:rPr>
      </w:pPr>
      <w:r>
        <w:rPr>
          <w:rFonts w:hint="default" w:ascii="Times New Roman" w:hAnsi="Times New Roman" w:eastAsia="Times New Roman" w:cs="Times New Roman"/>
          <w:kern w:val="0"/>
          <w:sz w:val="24"/>
          <w:szCs w:val="24"/>
          <w:lang w:val="en-US" w:eastAsia="zh-CN" w:bidi="ar"/>
        </w:rPr>
        <w:t>NDBaI =</w:t>
      </w:r>
      <w:r>
        <w:rPr>
          <w:rFonts w:hint="eastAsia" w:ascii="Calibri" w:hAnsi="Calibri" w:eastAsia="Times New Roman" w:cs="Times New Roman"/>
          <w:kern w:val="0"/>
          <w:position w:val="-17"/>
          <w:sz w:val="24"/>
          <w:szCs w:val="24"/>
          <w:lang w:val="en-US" w:eastAsia="en-US" w:bidi="ar"/>
        </w:rPr>
        <w:drawing>
          <wp:inline distT="0" distB="0" distL="114300" distR="114300">
            <wp:extent cx="1438275" cy="295275"/>
            <wp:effectExtent l="0" t="0" r="9525" b="825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38275" cy="295275"/>
                    </a:xfrm>
                    <a:prstGeom prst="rect">
                      <a:avLst/>
                    </a:prstGeom>
                    <a:noFill/>
                    <a:ln>
                      <a:noFill/>
                    </a:ln>
                  </pic:spPr>
                </pic:pic>
              </a:graphicData>
            </a:graphic>
          </wp:inline>
        </w:drawing>
      </w:r>
    </w:p>
    <w:p>
      <w:pPr>
        <w:spacing w:after="0" w:line="240" w:lineRule="auto"/>
        <w:rPr>
          <w:rFonts w:hint="default"/>
          <w:lang w:val="en-US"/>
        </w:rPr>
      </w:pPr>
    </w:p>
    <w:p>
      <w:pPr>
        <w:spacing w:line="276" w:lineRule="auto"/>
        <w:jc w:val="both"/>
        <w:rPr>
          <w:rFonts w:ascii="Times New Roman" w:hAnsi="Times New Roman"/>
        </w:rPr>
      </w:pPr>
    </w:p>
    <w:p>
      <w:pPr>
        <w:widowControl w:val="0"/>
        <w:autoSpaceDE w:val="0"/>
        <w:autoSpaceDN w:val="0"/>
        <w:adjustRightInd w:val="0"/>
        <w:spacing w:before="0" w:line="360" w:lineRule="auto"/>
        <w:ind w:left="480" w:hanging="480"/>
        <w:rPr>
          <w:rFonts w:ascii="Times New Roman" w:hAnsi="Times New Roman"/>
          <w:sz w:val="24"/>
          <w:szCs w:val="24"/>
        </w:rPr>
      </w:pPr>
      <w:r>
        <w:rPr>
          <w:rFonts w:ascii="Times New Roman" w:hAnsi="Times New Roman"/>
          <w:sz w:val="24"/>
          <w:szCs w:val="24"/>
        </w:rPr>
        <w:t>GI:</w:t>
      </w:r>
    </w:p>
    <w:p>
      <w:pPr>
        <w:spacing w:line="276" w:lineRule="auto"/>
        <w:jc w:val="both"/>
        <w:rPr>
          <w:rFonts w:ascii="Times New Roman" w:hAnsi="Times New Roman"/>
          <w:sz w:val="24"/>
          <w:szCs w:val="24"/>
        </w:rPr>
      </w:pPr>
      <w:r>
        <w:rPr>
          <w:rFonts w:ascii="Times New Roman" w:hAnsi="Times New Roman"/>
          <w:sz w:val="24"/>
          <w:szCs w:val="24"/>
        </w:rPr>
        <w:t xml:space="preserve">Greenness VIs which are contemplated to generate the quantity and vigor of green vegetation. Various aspects like chlorophyll concentration, canopy area and canopy structure are calculated by them. Combination of several effects determine the VI value. </w:t>
      </w:r>
      <w:r>
        <w:rPr>
          <w:rFonts w:ascii="Times New Roman" w:hAnsi="Times New Roman"/>
          <w:sz w:val="24"/>
          <w:szCs w:val="24"/>
        </w:rPr>
        <w:fldChar w:fldCharType="begin" w:fldLock="1"/>
      </w:r>
      <w:r>
        <w:rPr>
          <w:rFonts w:ascii="Times New Roman" w:hAnsi="Times New Roman"/>
          <w:sz w:val="24"/>
          <w:szCs w:val="24"/>
        </w:rPr>
        <w:instrText xml:space="preserve">ADDIN CSL_CITATION {"citationItems":[{"id":"ITEM-1","itemData":{"DOI":"10.1109/tgrs.1980.350249","ISBN":"9789533070032","ISSN":"0196-2892","abstract":"1. Benger and Simon Nicholas: Remote Sensing of the Ecology and Functioning\nof the Mekong River Basin with Special Reference to the Tonle Sap;\n\n2. Jyrki Tuominen, Tarmo Lipping, Viljo Kuosmanen and Reija Haapanen:\nRemote Sensing of Forest Health; \n\n3. José Chilo, Andreas Schlüter and Thomas Lindblad: Development of\na High-Resolution Wireless Sensor Network for Monitoring Volcanic\nActivity;\n\n4. Stefan Knedlik, Junchuan Zhou and Otmar Loffeld: On Position and\nAttitude Estimation for Remote Sensing with Bistatic SAR; \n\n5. Vincent G. Ambrosia and Steven S. Wegener: Unmanned Airborne Platforms\nFor Disaster Remote Sensing Support;\n\n6. Jin-King Liu, Kuan-Tsung Chang, Jiann-Yeou, Wei-Cheng Hsu, Zu-Yi\nLiao, Chi-Chung Lau and Tian-Yuan Shih: The Geomorphometry of Rainfall-Induced\nLandslides in Taiwan Obtained by Airborne Lidar and Digital Photography;\n\n7. Arturo Beltran, Laura Díaz, Carlos Granell, Joaquín Huerta and\nCarlos Abargues: Description and Publication of Geospatial Information;\n\n\n8. Shikada Masaaki, Takeuchi Sayaka, Shimano Sota and Moriya Mitoshi:\nApplication of Real Time GIS, Remote Sensing and IC Tag for Realization\nof Geospatial Informationsociety; \n\n9. Nadya T. Vinogradova: Integrated sea surface temperature products\nwithin a coastal ocean observing system; \n\n10. A. Bannari and K. Staenz: Soil Backgrounds Impact Analysis on\nChlorophyll Indices Using Field, Airborne and Satellite Hyperspectral\nData; \n\n11. Takashi Kusaka and Ryuichi Taniguchi: Simultaneous Estimation\nof Optical Properties of Asian Dust and Ground Reflectance by Polarization\nMeasurements; \n\n12. Alessandra Budillon: Moving Target Detection and Velocity Estimation\nin Multi-Channel AT-InSAR Systems from Amplitude and Phase Data;\n\n\n13. Dirk Hoekman: Monitoring tropical peat swamp deforestation and\nhydrological dynamics by ASAR and PALSAR;\n\n14. Paolo Villa, Giovanmaria Lechi, Mario A. Gomarasca: Multivariate\nDifferencing Techniques for Land Cover Change Detection: the Normalized\nDifference Reflectance Approach; \n\n15. Adrián González, José Moreno, Graham Russell and Astrid Márquez:\nUsing Kernel Methods under a Learning Machine Approach for Multispectral\nData Classification. An Application in Agriculture; \n\n16. Pei-Gee Peter Ho: Multivariate Time Series Support Vector Machine\nfor Multispectral Remote Sensing Image Classifications; \n\n17. Apprato Dominique, Gout Christian and Le Guyader Carole: Surface\napproximation from rapidly varying data: Applications to geophysical\nsurfaces and seafloor s…","container-title":"IEEE Transactions on Geoscience and Remote Sensing","id":"ITEM-1","issue":"1","issued":{"date-parts":[["2008"]]},"number-of-pages":"1-1","title":"Geoscience And Remote Sensing","type":"book","volume":"GE-18"},"uris":["http://www.mendeley.com/documents/?uuid=e4fb63c2-e8da-4771-885c-17df9d39bfbb"]}],"mendeley":{"formattedCitation":"(“Geoscience And Remote Sensing,” 2008)","plainTextFormattedCitation":"(“Geoscience And Remote Sensing,” 2008)","previouslyFormattedCitation":"(“Geoscience And Remote Sensing,” 2008)"},"properties":{"noteIndex":0},"schema":"https://github.com/citation-style-language/schema/raw/master/csl-citation.json"}</w:instrText>
      </w:r>
      <w:r>
        <w:rPr>
          <w:rFonts w:ascii="Times New Roman" w:hAnsi="Times New Roman"/>
          <w:sz w:val="24"/>
          <w:szCs w:val="24"/>
        </w:rPr>
        <w:fldChar w:fldCharType="separate"/>
      </w:r>
      <w:r>
        <w:rPr>
          <w:rFonts w:ascii="Times New Roman" w:hAnsi="Times New Roman"/>
          <w:sz w:val="24"/>
          <w:szCs w:val="24"/>
        </w:rPr>
        <w:t>(“Geoscience And Remote Sensing,” 2008)</w:t>
      </w:r>
      <w:r>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eastAsia="Calibri"/>
          <w:sz w:val="24"/>
          <w:szCs w:val="24"/>
        </w:rPr>
        <w:t xml:space="preserve">The reflectance peak is evaluated at the </w:t>
      </w:r>
      <w:r>
        <w:rPr>
          <w:rFonts w:ascii="Times New Roman" w:hAnsi="Times New Roman"/>
          <w:sz w:val="24"/>
          <w:szCs w:val="24"/>
        </w:rPr>
        <w:t>near-infrared region</w:t>
      </w:r>
      <w:r>
        <w:rPr>
          <w:rFonts w:ascii="Times New Roman" w:hAnsi="Times New Roman" w:eastAsia="Calibri"/>
          <w:sz w:val="24"/>
          <w:szCs w:val="24"/>
        </w:rPr>
        <w:t xml:space="preserve"> (NIR) by </w:t>
      </w:r>
      <w:r>
        <w:rPr>
          <w:rFonts w:ascii="Times New Roman" w:hAnsi="Times New Roman"/>
          <w:sz w:val="24"/>
          <w:szCs w:val="24"/>
        </w:rPr>
        <w:t xml:space="preserve">Greenness VIs. The chlorophyll absorb the strongest Red wavelength where this is used as a reference </w:t>
      </w:r>
      <w:r>
        <w:rPr>
          <w:rFonts w:ascii="Times New Roman" w:hAnsi="Times New Roman"/>
          <w:sz w:val="24"/>
          <w:szCs w:val="24"/>
        </w:rPr>
        <w:fldChar w:fldCharType="begin" w:fldLock="1"/>
      </w:r>
      <w:r>
        <w:rPr>
          <w:rFonts w:ascii="Times New Roman" w:hAnsi="Times New Roman"/>
          <w:sz w:val="24"/>
          <w:szCs w:val="24"/>
        </w:rPr>
        <w:instrText xml:space="preserve">ADDIN CSL_CITATION {"citationItems":[{"id":"ITEM-1","itemData":{"ISSN":"13101331","abstract":"The aim of the current work is developing an assessment for vegetation dynamics based on orthogonal transformation of satellite images from Sentinel-2 and Landsat. The work presents a new index for the assessment based on the “Greenness” component, obtained from orthogonal transformation of the images. The presented index is defined as Normalized Differential Greenness Index (NDGI). NDGI reflects the vegetation’s dynamic of change depending on temporal periods. NDGI can have values ranging from +1 to −1. Using NDGI, an appraisal can be made of the negative and positive changes of the vegetation. A model is presented for automation of the satellite image processing for obtaining NDGI. The work also presents results from applying NDGI for different temporal periods influencing the change of vegetation status quo.","author":[{"dropping-particle":"","family":"Nedkov","given":"Roumen","non-dropping-particle":"","parse-names":false,"suffix":""}],"container-title":"Comptes Rendus de L'Academie Bulgare des Sciences","id":"ITEM-1","issue":"8","issued":{"date-parts":[["2017"]]},"page":"1143-1146","title":"Normalized differential greenness index for vegetation dynamics assessment","type":"article-journal","volume":"70"},"uris":["http://www.mendeley.com/documents/?uuid=5b6ea1be-2d87-4186-9d44-3a790566a73e"]}],"mendeley":{"formattedCitation":"(Nedkov, 2017)","plainTextFormattedCitation":"(Nedkov, 2017)"},"properties":{"noteIndex":0},"schema":"https://github.com/citation-style-language/schema/raw/master/csl-citation.json"}</w:instrText>
      </w:r>
      <w:r>
        <w:rPr>
          <w:rFonts w:ascii="Times New Roman" w:hAnsi="Times New Roman"/>
          <w:sz w:val="24"/>
          <w:szCs w:val="24"/>
        </w:rPr>
        <w:fldChar w:fldCharType="separate"/>
      </w:r>
      <w:r>
        <w:rPr>
          <w:rFonts w:ascii="Times New Roman" w:hAnsi="Times New Roman"/>
          <w:sz w:val="24"/>
          <w:szCs w:val="24"/>
        </w:rPr>
        <w:t>(Nedkov, 2017)</w:t>
      </w:r>
      <w:r>
        <w:rPr>
          <w:rFonts w:ascii="Times New Roman" w:hAnsi="Times New Roman"/>
          <w:sz w:val="24"/>
          <w:szCs w:val="24"/>
        </w:rPr>
        <w:fldChar w:fldCharType="end"/>
      </w:r>
      <w:r>
        <w:rPr>
          <w:rFonts w:ascii="Times New Roman" w:hAnsi="Times New Roman"/>
          <w:sz w:val="24"/>
          <w:szCs w:val="24"/>
        </w:rPr>
        <w:t>.</w:t>
      </w:r>
    </w:p>
    <w:p>
      <w:pPr>
        <w:spacing w:line="276" w:lineRule="auto"/>
        <w:jc w:val="both"/>
        <w:rPr>
          <w:rFonts w:ascii="Times New Roman" w:hAnsi="Times New Roman"/>
          <w:sz w:val="24"/>
          <w:szCs w:val="24"/>
        </w:rPr>
      </w:pPr>
      <w:r>
        <w:rPr>
          <w:rFonts w:ascii="Times New Roman" w:hAnsi="Times New Roman"/>
          <w:sz w:val="24"/>
          <w:szCs w:val="24"/>
        </w:rPr>
        <w:t>NDGI is defined using the following equation:</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Times-Italic3" w:cs="Times New Roman"/>
          <w:i/>
          <w:iCs/>
          <w:color w:val="000000"/>
          <w:kern w:val="0"/>
          <w:sz w:val="24"/>
          <w:szCs w:val="24"/>
          <w:lang w:val="en-US" w:eastAsia="zh-CN" w:bidi="ar"/>
        </w:rPr>
        <w:t xml:space="preserve">Greenness Index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Italic3" w:cs="Times New Roman"/>
          <w:i/>
          <w:iCs/>
          <w:color w:val="000000"/>
          <w:kern w:val="0"/>
          <w:sz w:val="24"/>
          <w:szCs w:val="24"/>
          <w:lang w:val="en-US" w:eastAsia="zh-CN" w:bidi="ar"/>
        </w:rPr>
        <w:t>G I</w:t>
      </w:r>
      <w:r>
        <w:rPr>
          <w:rFonts w:hint="default" w:ascii="Times New Roman" w:hAnsi="Times New Roman" w:eastAsia="MTMI2" w:cs="Times New Roman"/>
          <w:i/>
          <w:iCs/>
          <w:color w:val="000000"/>
          <w:kern w:val="0"/>
          <w:sz w:val="24"/>
          <w:szCs w:val="24"/>
          <w:lang w:val="en-US" w:eastAsia="zh-CN" w:bidi="ar"/>
        </w:rPr>
        <w:t xml:space="preserve">)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2728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Blue</w:t>
      </w:r>
      <w:r>
        <w:rPr>
          <w:rFonts w:hint="default" w:ascii="Times New Roman" w:hAnsi="Times New Roman" w:eastAsia="MTMI2" w:cs="Times New Roman"/>
          <w:i/>
          <w:iCs/>
          <w:color w:val="000000"/>
          <w:kern w:val="0"/>
          <w:sz w:val="24"/>
          <w:szCs w:val="24"/>
          <w:lang w:val="en-US" w:eastAsia="zh-CN" w:bidi="ar"/>
        </w:rPr>
        <w:t xml:space="preserve">)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2174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Green</w:t>
      </w:r>
      <w:r>
        <w:rPr>
          <w:rFonts w:hint="default" w:ascii="Times New Roman" w:hAnsi="Times New Roman" w:eastAsia="MTMI2" w:cs="Times New Roman"/>
          <w:i/>
          <w:iCs/>
          <w:color w:val="000000"/>
          <w:kern w:val="0"/>
          <w:sz w:val="24"/>
          <w:szCs w:val="24"/>
          <w:lang w:val="en-US" w:eastAsia="zh-CN" w:bidi="ar"/>
        </w:rPr>
        <w:t>)</w:t>
      </w:r>
    </w:p>
    <w:p>
      <w:pPr>
        <w:keepNext w:val="0"/>
        <w:keepLines w:val="0"/>
        <w:widowControl/>
        <w:suppressLineNumbers w:val="0"/>
        <w:ind w:firstLine="2520" w:firstLineChars="1050"/>
        <w:jc w:val="center"/>
        <w:rPr>
          <w:rFonts w:hint="default" w:ascii="Times New Roman" w:hAnsi="Times New Roman" w:cs="Times New Roman"/>
          <w:sz w:val="24"/>
          <w:szCs w:val="24"/>
        </w:rPr>
      </w:pP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5508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Red</w:t>
      </w:r>
      <w:r>
        <w:rPr>
          <w:rFonts w:hint="default" w:ascii="Times New Roman" w:hAnsi="Times New Roman" w:eastAsia="MTMI2" w:cs="Times New Roman"/>
          <w:i/>
          <w:iCs/>
          <w:color w:val="000000"/>
          <w:kern w:val="0"/>
          <w:sz w:val="24"/>
          <w:szCs w:val="24"/>
          <w:lang w:val="en-US" w:eastAsia="zh-CN" w:bidi="ar"/>
        </w:rPr>
        <w:t xml:space="preserve">)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7221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NIR</w:t>
      </w:r>
      <w:r>
        <w:rPr>
          <w:rFonts w:hint="default" w:ascii="Times New Roman" w:hAnsi="Times New Roman" w:eastAsia="MTMI2" w:cs="Times New Roman"/>
          <w:i/>
          <w:iCs/>
          <w:color w:val="000000"/>
          <w:kern w:val="0"/>
          <w:sz w:val="24"/>
          <w:szCs w:val="24"/>
          <w:lang w:val="en-US" w:eastAsia="zh-CN" w:bidi="ar"/>
        </w:rPr>
        <w:t>)</w:t>
      </w:r>
    </w:p>
    <w:p>
      <w:pPr>
        <w:keepNext w:val="0"/>
        <w:keepLines w:val="0"/>
        <w:widowControl/>
        <w:suppressLineNumbers w:val="0"/>
        <w:ind w:firstLine="2520" w:firstLineChars="1050"/>
        <w:jc w:val="center"/>
        <w:rPr>
          <w:rFonts w:hint="default" w:ascii="Times New Roman" w:hAnsi="Times New Roman" w:cs="Times New Roman"/>
          <w:sz w:val="24"/>
          <w:szCs w:val="24"/>
        </w:rPr>
      </w:pPr>
      <w:r>
        <w:rPr>
          <w:rFonts w:hint="default" w:ascii="Times New Roman" w:hAnsi="Times New Roman" w:eastAsia="MTSYN3" w:cs="Times New Roman"/>
          <w:color w:val="000000"/>
          <w:kern w:val="0"/>
          <w:sz w:val="24"/>
          <w:szCs w:val="24"/>
          <w:lang w:val="en-US" w:eastAsia="zh-CN" w:bidi="ar"/>
        </w:rPr>
        <w:t xml:space="preserve">             +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0733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SW I R</w:t>
      </w:r>
      <w:r>
        <w:rPr>
          <w:rFonts w:hint="default" w:ascii="Times New Roman" w:hAnsi="Times New Roman" w:eastAsia="Times-Roman3" w:cs="Times New Roman"/>
          <w:color w:val="000000"/>
          <w:kern w:val="0"/>
          <w:sz w:val="24"/>
          <w:szCs w:val="24"/>
          <w:lang w:val="en-US" w:eastAsia="zh-CN" w:bidi="ar"/>
        </w:rPr>
        <w:t>1</w:t>
      </w:r>
      <w:r>
        <w:rPr>
          <w:rFonts w:hint="default" w:ascii="Times New Roman" w:hAnsi="Times New Roman" w:eastAsia="MTMI2" w:cs="Times New Roman"/>
          <w:i/>
          <w:iCs/>
          <w:color w:val="000000"/>
          <w:kern w:val="0"/>
          <w:sz w:val="24"/>
          <w:szCs w:val="24"/>
          <w:lang w:val="en-US" w:eastAsia="zh-CN" w:bidi="ar"/>
        </w:rPr>
        <w:t xml:space="preserve">)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0</w:t>
      </w:r>
      <w:r>
        <w:rPr>
          <w:rFonts w:hint="default" w:ascii="Times New Roman" w:hAnsi="Times New Roman" w:eastAsia="MTMI2" w:cs="Times New Roman"/>
          <w:i/>
          <w:iCs/>
          <w:color w:val="000000"/>
          <w:kern w:val="0"/>
          <w:sz w:val="24"/>
          <w:szCs w:val="24"/>
          <w:lang w:val="en-US" w:eastAsia="zh-CN" w:bidi="ar"/>
        </w:rPr>
        <w:t>.</w:t>
      </w:r>
      <w:r>
        <w:rPr>
          <w:rFonts w:hint="default" w:ascii="Times New Roman" w:hAnsi="Times New Roman" w:eastAsia="Times-Roman3" w:cs="Times New Roman"/>
          <w:color w:val="000000"/>
          <w:kern w:val="0"/>
          <w:sz w:val="24"/>
          <w:szCs w:val="24"/>
          <w:lang w:val="en-US" w:eastAsia="zh-CN" w:bidi="ar"/>
        </w:rPr>
        <w:t xml:space="preserve">1648 </w:t>
      </w:r>
      <w:r>
        <w:rPr>
          <w:rFonts w:hint="default" w:ascii="Times New Roman" w:hAnsi="Times New Roman" w:eastAsia="MTSYN3" w:cs="Times New Roman"/>
          <w:color w:val="000000"/>
          <w:kern w:val="0"/>
          <w:sz w:val="24"/>
          <w:szCs w:val="24"/>
          <w:lang w:val="en-US" w:eastAsia="zh-CN" w:bidi="ar"/>
        </w:rPr>
        <w:t xml:space="preserve">∗ </w:t>
      </w:r>
      <w:r>
        <w:rPr>
          <w:rFonts w:hint="default" w:ascii="Times New Roman" w:hAnsi="Times New Roman" w:eastAsia="Times-Italic3" w:cs="Times New Roman"/>
          <w:i/>
          <w:iCs/>
          <w:color w:val="000000"/>
          <w:kern w:val="0"/>
          <w:sz w:val="24"/>
          <w:szCs w:val="24"/>
          <w:lang w:val="en-US" w:eastAsia="zh-CN" w:bidi="ar"/>
        </w:rPr>
        <w:t>SW I R</w:t>
      </w:r>
      <w:r>
        <w:rPr>
          <w:rFonts w:hint="default" w:ascii="Times New Roman" w:hAnsi="Times New Roman" w:eastAsia="Times-Roman3" w:cs="Times New Roman"/>
          <w:color w:val="000000"/>
          <w:kern w:val="0"/>
          <w:sz w:val="24"/>
          <w:szCs w:val="24"/>
          <w:lang w:val="en-US" w:eastAsia="zh-CN" w:bidi="ar"/>
        </w:rPr>
        <w:t>2</w:t>
      </w:r>
      <w:r>
        <w:rPr>
          <w:rFonts w:hint="default" w:ascii="Times New Roman" w:hAnsi="Times New Roman" w:eastAsia="MTMI2" w:cs="Times New Roman"/>
          <w:i/>
          <w:iCs/>
          <w:color w:val="000000"/>
          <w:kern w:val="0"/>
          <w:sz w:val="24"/>
          <w:szCs w:val="24"/>
          <w:lang w:val="en-US" w:eastAsia="zh-CN" w:bidi="ar"/>
        </w:rPr>
        <w:t>)</w:t>
      </w:r>
    </w:p>
    <w:p>
      <w:pPr>
        <w:spacing w:line="276" w:lineRule="auto"/>
        <w:jc w:val="center"/>
        <w:rPr>
          <w:rFonts w:ascii="Times New Roman" w:hAnsi="Times New Roman"/>
          <w:sz w:val="24"/>
          <w:szCs w:val="24"/>
        </w:rPr>
      </w:pPr>
    </w:p>
    <w:p>
      <w:pPr>
        <w:spacing w:line="276" w:lineRule="auto"/>
        <w:jc w:val="both"/>
        <w:rPr>
          <w:rFonts w:ascii="Times New Roman" w:hAnsi="Times New Roman"/>
          <w:sz w:val="24"/>
          <w:szCs w:val="24"/>
        </w:rPr>
      </w:pPr>
    </w:p>
    <w:p>
      <w:pPr>
        <w:spacing w:line="276" w:lineRule="auto"/>
        <w:jc w:val="both"/>
        <w:rPr>
          <w:rFonts w:ascii="Times New Roman" w:hAnsi="Times New Roman"/>
          <w:sz w:val="24"/>
          <w:szCs w:val="24"/>
        </w:rPr>
      </w:pPr>
    </w:p>
    <w:p>
      <w:pPr>
        <w:widowControl w:val="0"/>
        <w:autoSpaceDE w:val="0"/>
        <w:autoSpaceDN w:val="0"/>
        <w:adjustRightInd w:val="0"/>
        <w:spacing w:before="0" w:line="360" w:lineRule="auto"/>
        <w:jc w:val="both"/>
        <w:rPr>
          <w:rFonts w:ascii="Times New Roman" w:hAnsi="Times New Roman"/>
          <w:sz w:val="24"/>
          <w:szCs w:val="24"/>
        </w:rPr>
      </w:pPr>
    </w:p>
    <w:p>
      <w:pPr>
        <w:widowControl w:val="0"/>
        <w:autoSpaceDE w:val="0"/>
        <w:autoSpaceDN w:val="0"/>
        <w:adjustRightInd w:val="0"/>
        <w:spacing w:before="0" w:line="360" w:lineRule="auto"/>
        <w:ind w:left="480" w:hanging="480"/>
        <w:jc w:val="both"/>
        <w:rPr>
          <w:rFonts w:ascii="Times New Roman" w:hAnsi="Times New Roman"/>
          <w:sz w:val="24"/>
          <w:szCs w:val="24"/>
        </w:rPr>
      </w:pPr>
      <w:r>
        <w:rPr>
          <w:rFonts w:ascii="Times New Roman" w:hAnsi="Times New Roman"/>
          <w:sz w:val="24"/>
          <w:szCs w:val="24"/>
        </w:rPr>
        <w:t>Different narrow banded VIs for forest health assessment.</w:t>
      </w:r>
    </w:p>
    <w:tbl>
      <w:tblPr>
        <w:tblStyle w:val="9"/>
        <w:tblW w:w="11053"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4"/>
        <w:gridCol w:w="3756"/>
        <w:gridCol w:w="265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3027" w:type="dxa"/>
            <w:shd w:val="clear" w:color="auto" w:fill="auto"/>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Name</w:t>
            </w:r>
          </w:p>
        </w:tc>
        <w:tc>
          <w:tcPr>
            <w:tcW w:w="3424"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Algorithom</w:t>
            </w: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Application</w:t>
            </w: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 w:hRule="atLeast"/>
        </w:trPr>
        <w:tc>
          <w:tcPr>
            <w:tcW w:w="3027"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Normalized Difference Vegetation Index (NDVI)</w:t>
            </w:r>
          </w:p>
        </w:tc>
        <w:tc>
          <w:tcPr>
            <w:tcW w:w="3424"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eastAsia="Calibri"/>
                <w:sz w:val="24"/>
                <w:szCs w:val="24"/>
                <w:shd w:val="clear" w:color="auto" w:fill="FFFFFF"/>
              </w:rPr>
            </w:pPr>
            <w:r>
              <w:rPr>
                <w:rFonts w:hint="eastAsia" w:ascii="Calibri" w:hAnsi="Calibri" w:eastAsia="Times New Roman" w:cs="Times New Roman"/>
                <w:kern w:val="0"/>
                <w:sz w:val="20"/>
                <w:szCs w:val="20"/>
                <w:lang w:val="en-US" w:eastAsia="zh-CN" w:bidi="ar"/>
              </w:rPr>
              <w:drawing>
                <wp:inline distT="0" distB="0" distL="114300" distR="114300">
                  <wp:extent cx="542925" cy="342900"/>
                  <wp:effectExtent l="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7"/>
                          <a:stretch>
                            <a:fillRect/>
                          </a:stretch>
                        </pic:blipFill>
                        <pic:spPr>
                          <a:xfrm>
                            <a:off x="0" y="0"/>
                            <a:ext cx="542925" cy="342900"/>
                          </a:xfrm>
                          <a:prstGeom prst="rect">
                            <a:avLst/>
                          </a:prstGeom>
                          <a:noFill/>
                          <a:ln>
                            <a:noFill/>
                          </a:ln>
                        </pic:spPr>
                      </pic:pic>
                    </a:graphicData>
                  </a:graphic>
                </wp:inline>
              </w:drawing>
            </w: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color w:val="000000"/>
                <w:kern w:val="0"/>
                <w:sz w:val="24"/>
                <w:szCs w:val="24"/>
                <w:lang w:val="en-US" w:eastAsia="zh-CN" w:bidi="ar"/>
              </w:rPr>
              <w:t>Rouse et al. (1974)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3027"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Enhanced Vegetation Index (EVI)</w:t>
            </w:r>
          </w:p>
        </w:tc>
        <w:tc>
          <w:tcPr>
            <w:tcW w:w="3424" w:type="dxa"/>
            <w:vAlign w:val="top"/>
          </w:tcPr>
          <w:p>
            <w:pPr>
              <w:keepNext w:val="0"/>
              <w:keepLines w:val="0"/>
              <w:widowControl/>
              <w:suppressLineNumbers w:val="0"/>
              <w:jc w:val="left"/>
            </w:pPr>
            <w:r>
              <w:rPr>
                <w:rFonts w:hint="eastAsia" w:ascii="Calibri" w:hAnsi="Calibri" w:eastAsia="Calibri" w:cs="Times New Roman"/>
                <w:sz w:val="22"/>
                <w:szCs w:val="22"/>
                <w:lang w:val="en-US" w:eastAsia="en-US" w:bidi="ar"/>
              </w:rPr>
              <w:drawing>
                <wp:inline distT="0" distB="0" distL="114300" distR="114300">
                  <wp:extent cx="2247900" cy="390525"/>
                  <wp:effectExtent l="0" t="0" r="0" b="889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2247900" cy="390525"/>
                          </a:xfrm>
                          <a:prstGeom prst="rect">
                            <a:avLst/>
                          </a:prstGeom>
                          <a:noFill/>
                          <a:ln>
                            <a:noFill/>
                          </a:ln>
                        </pic:spPr>
                      </pic:pic>
                    </a:graphicData>
                  </a:graphic>
                </wp:inline>
              </w:drawing>
            </w:r>
          </w:p>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center"/>
              <w:rPr>
                <w:rFonts w:ascii="Times New Roman" w:hAnsi="Times New Roman"/>
                <w:sz w:val="24"/>
                <w:szCs w:val="24"/>
              </w:rPr>
            </w:pP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color w:val="555555"/>
                <w:kern w:val="0"/>
                <w:sz w:val="24"/>
                <w:szCs w:val="24"/>
                <w:shd w:val="clear" w:fill="FFFFFF"/>
                <w:lang w:val="en-US" w:eastAsia="zh-CN" w:bidi="ar"/>
              </w:rPr>
              <w:t>Liu and Huete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3027"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Normalized Difference Bareness Index (NDBaI)</w:t>
            </w:r>
          </w:p>
        </w:tc>
        <w:tc>
          <w:tcPr>
            <w:tcW w:w="3424" w:type="dxa"/>
            <w:vAlign w:val="top"/>
          </w:tcPr>
          <w:p>
            <w:pPr>
              <w:keepNext w:val="0"/>
              <w:keepLines w:val="0"/>
              <w:widowControl/>
              <w:suppressLineNumbers w:val="0"/>
              <w:spacing w:before="0" w:beforeAutospacing="1" w:after="160" w:afterAutospacing="0" w:line="254" w:lineRule="auto"/>
              <w:ind w:left="0" w:right="0"/>
              <w:jc w:val="left"/>
              <w:rPr>
                <w:rFonts w:ascii="Times New Roman" w:hAnsi="Times New Roman"/>
                <w:sz w:val="24"/>
                <w:szCs w:val="24"/>
              </w:rPr>
            </w:pPr>
            <w:r>
              <w:rPr>
                <w:rFonts w:hint="default" w:ascii="Times New Roman" w:hAnsi="Times New Roman" w:eastAsia="Times New Roman" w:cs="Times New Roman"/>
                <w:sz w:val="24"/>
                <w:szCs w:val="24"/>
                <w:lang w:val="en-US" w:eastAsia="en-US" w:bidi="ar"/>
              </w:rPr>
              <w:t xml:space="preserve"> </w:t>
            </w:r>
            <w:r>
              <w:rPr>
                <w:rFonts w:hint="default" w:ascii="Times New Roman" w:hAnsi="Times New Roman" w:eastAsia="Times New Roman" w:cs="Times New Roman"/>
                <w:kern w:val="0"/>
                <w:sz w:val="24"/>
                <w:szCs w:val="24"/>
                <w:lang w:val="en-US" w:eastAsia="zh-CN" w:bidi="ar"/>
              </w:rPr>
              <w:t>NDBaI =</w:t>
            </w:r>
            <w:r>
              <w:rPr>
                <w:rFonts w:hint="eastAsia" w:ascii="Calibri" w:hAnsi="Calibri" w:eastAsia="Times New Roman" w:cs="Times New Roman"/>
                <w:kern w:val="0"/>
                <w:position w:val="-17"/>
                <w:sz w:val="22"/>
                <w:szCs w:val="22"/>
                <w:lang w:val="en-US" w:eastAsia="en-US" w:bidi="ar"/>
              </w:rPr>
              <w:drawing>
                <wp:inline distT="0" distB="0" distL="114300" distR="114300">
                  <wp:extent cx="1438275" cy="295275"/>
                  <wp:effectExtent l="0" t="0" r="9525" b="8255"/>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38275" cy="295275"/>
                          </a:xfrm>
                          <a:prstGeom prst="rect">
                            <a:avLst/>
                          </a:prstGeom>
                          <a:noFill/>
                          <a:ln>
                            <a:noFill/>
                          </a:ln>
                        </pic:spPr>
                      </pic:pic>
                    </a:graphicData>
                  </a:graphic>
                </wp:inline>
              </w:drawing>
            </w: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027"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Perpendicular Vegetation Index (PVI)</w:t>
            </w:r>
          </w:p>
        </w:tc>
        <w:tc>
          <w:tcPr>
            <w:tcW w:w="3424"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eastAsia" w:ascii="Calibri" w:hAnsi="Calibri" w:eastAsia="Times New Roman" w:cs="Times New Roman"/>
                <w:kern w:val="0"/>
                <w:sz w:val="20"/>
                <w:szCs w:val="20"/>
                <w:lang w:val="en-US" w:eastAsia="zh-CN" w:bidi="ar"/>
              </w:rPr>
              <w:drawing>
                <wp:inline distT="0" distB="0" distL="114300" distR="114300">
                  <wp:extent cx="1114425" cy="381000"/>
                  <wp:effectExtent l="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9"/>
                          <a:stretch>
                            <a:fillRect/>
                          </a:stretch>
                        </pic:blipFill>
                        <pic:spPr>
                          <a:xfrm>
                            <a:off x="0" y="0"/>
                            <a:ext cx="1114425" cy="381000"/>
                          </a:xfrm>
                          <a:prstGeom prst="rect">
                            <a:avLst/>
                          </a:prstGeom>
                          <a:noFill/>
                          <a:ln>
                            <a:noFill/>
                          </a:ln>
                        </pic:spPr>
                      </pic:pic>
                    </a:graphicData>
                  </a:graphic>
                </wp:inline>
              </w:drawing>
            </w: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color w:val="000000"/>
                <w:kern w:val="0"/>
                <w:sz w:val="24"/>
                <w:szCs w:val="24"/>
                <w:lang w:val="en-US" w:eastAsia="zh-CN" w:bidi="ar"/>
              </w:rPr>
              <w:t>Richardson and Wiegand (1977)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3027"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kern w:val="0"/>
                <w:sz w:val="24"/>
                <w:szCs w:val="24"/>
                <w:lang w:val="en-US" w:eastAsia="zh-CN" w:bidi="ar"/>
              </w:rPr>
              <w:t>Normalized Difference Greenness Index (NDGI)</w:t>
            </w:r>
          </w:p>
        </w:tc>
        <w:tc>
          <w:tcPr>
            <w:tcW w:w="3424"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eastAsia" w:ascii="Calibri" w:hAnsi="Calibri" w:eastAsia="Times New Roman" w:cs="Times New Roman"/>
                <w:kern w:val="0"/>
                <w:sz w:val="20"/>
                <w:szCs w:val="20"/>
                <w:lang w:val="en-US" w:eastAsia="zh-CN" w:bidi="ar"/>
              </w:rPr>
              <w:drawing>
                <wp:inline distT="0" distB="0" distL="114300" distR="114300">
                  <wp:extent cx="1504950" cy="371475"/>
                  <wp:effectExtent l="0" t="0" r="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10"/>
                          <a:stretch>
                            <a:fillRect/>
                          </a:stretch>
                        </pic:blipFill>
                        <pic:spPr>
                          <a:xfrm>
                            <a:off x="0" y="0"/>
                            <a:ext cx="1504950" cy="371475"/>
                          </a:xfrm>
                          <a:prstGeom prst="rect">
                            <a:avLst/>
                          </a:prstGeom>
                          <a:noFill/>
                          <a:ln>
                            <a:noFill/>
                          </a:ln>
                        </pic:spPr>
                      </pic:pic>
                    </a:graphicData>
                  </a:graphic>
                </wp:inline>
              </w:drawing>
            </w:r>
          </w:p>
        </w:tc>
        <w:tc>
          <w:tcPr>
            <w:tcW w:w="2790"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p>
        </w:tc>
        <w:tc>
          <w:tcPr>
            <w:tcW w:w="1812" w:type="dxa"/>
            <w:vAlign w:val="top"/>
          </w:tcPr>
          <w:p>
            <w:pPr>
              <w:keepNext w:val="0"/>
              <w:keepLines w:val="0"/>
              <w:widowControl w:val="0"/>
              <w:suppressLineNumbers w:val="0"/>
              <w:autoSpaceDE w:val="0"/>
              <w:autoSpaceDN w:val="0"/>
              <w:adjustRightInd w:val="0"/>
              <w:spacing w:before="0" w:beforeAutospacing="0" w:after="0" w:afterAutospacing="0" w:line="360" w:lineRule="auto"/>
              <w:ind w:left="0" w:leftChars="0" w:right="0" w:rightChars="0"/>
              <w:jc w:val="left"/>
              <w:rPr>
                <w:rFonts w:ascii="Times New Roman" w:hAnsi="Times New Roman"/>
                <w:sz w:val="24"/>
                <w:szCs w:val="24"/>
              </w:rPr>
            </w:pPr>
            <w:r>
              <w:rPr>
                <w:rFonts w:hint="default" w:ascii="Times New Roman" w:hAnsi="Times New Roman" w:eastAsia="Calibri" w:cs="Times New Roman"/>
                <w:color w:val="000000"/>
                <w:kern w:val="0"/>
                <w:sz w:val="24"/>
                <w:szCs w:val="24"/>
                <w:lang w:val="en-US" w:eastAsia="zh-CN" w:bidi="ar"/>
              </w:rPr>
              <w:t>Kauth and Thomas (1976)</w:t>
            </w:r>
          </w:p>
        </w:tc>
      </w:tr>
    </w:tbl>
    <w:p>
      <w:pPr>
        <w:spacing w:line="276" w:lineRule="auto"/>
        <w:jc w:val="both"/>
        <w:rPr>
          <w:rFonts w:ascii="Times New Roman" w:hAnsi="Times New Roman"/>
          <w:sz w:val="24"/>
          <w:szCs w:val="24"/>
        </w:rPr>
      </w:pPr>
    </w:p>
    <w:p/>
    <w:p>
      <w:pPr>
        <w:rPr>
          <w:b/>
          <w:bCs/>
        </w:rPr>
      </w:pPr>
      <w:r>
        <w:rPr>
          <w:b/>
          <w:bCs/>
        </w:rPr>
        <w:t>References (literature review)</w:t>
      </w:r>
    </w:p>
    <w:p>
      <w:pPr>
        <w:pStyle w:val="10"/>
        <w:numPr>
          <w:ilvl w:val="0"/>
          <w:numId w:val="1"/>
        </w:numPr>
      </w:pPr>
      <w:r>
        <w:t>Van Laar A. Acka A. 2007 Forest mensuration (Managing Forest Ecosystems), Springer, 978402059902, Dordrecht</w:t>
      </w:r>
    </w:p>
    <w:p>
      <w:pPr>
        <w:pStyle w:val="10"/>
        <w:numPr>
          <w:ilvl w:val="0"/>
          <w:numId w:val="1"/>
        </w:numPr>
      </w:pPr>
      <w:r>
        <w:t>Clement J. 2004 LiDAR Derived 3D Forest Stand Parameters of Dutch Pine, Wageningen University, Wageningen</w:t>
      </w:r>
    </w:p>
    <w:p>
      <w:pPr>
        <w:pStyle w:val="10"/>
        <w:numPr>
          <w:ilvl w:val="0"/>
          <w:numId w:val="1"/>
        </w:numPr>
      </w:pPr>
      <w:r>
        <w:t>Foody GM. Status of land covers classification accuracy assessment. Remote Sens Environ 2002; 80: 185-201. [doi:101016/S0034- 4257(01)00295-4].</w:t>
      </w:r>
    </w:p>
    <w:p>
      <w:pPr>
        <w:pStyle w:val="10"/>
        <w:numPr>
          <w:ilvl w:val="0"/>
          <w:numId w:val="1"/>
        </w:numPr>
      </w:pPr>
      <w:r>
        <w:t>Clark J, Zajkowski T, Lannom K. Remote sensing imagery support for burned area emergency response teams on 2003 southern California wildfires. Proc of the 10th Biennial Forest Svc: Remote Sensing App Conf 2004.</w:t>
      </w:r>
    </w:p>
    <w:p>
      <w:pPr>
        <w:pStyle w:val="10"/>
        <w:numPr>
          <w:ilvl w:val="0"/>
          <w:numId w:val="1"/>
        </w:numPr>
      </w:pPr>
      <w:r>
        <w:t>Campbell JB. Introduction to remote sensing. The Guilford Press: New York 2002.</w:t>
      </w:r>
    </w:p>
    <w:p>
      <w:pPr>
        <w:pStyle w:val="10"/>
        <w:numPr>
          <w:ilvl w:val="0"/>
          <w:numId w:val="1"/>
        </w:numPr>
      </w:pPr>
      <w:r>
        <w:t>Rouse JW, Haas RH, Deering DW, Sehell JA. Monitoring the vernal advancement and retrogradation (green wave effect) of natural vegetation, Final Report RSC 1978-4. Remote Sensing Center, Texas A&amp;M Univ: College Station 1974.</w:t>
      </w:r>
    </w:p>
    <w:p>
      <w:pPr>
        <w:pStyle w:val="10"/>
        <w:numPr>
          <w:ilvl w:val="0"/>
          <w:numId w:val="1"/>
        </w:numPr>
      </w:pPr>
      <w:r>
        <w:t>Huang C, Wylie B, Yang L, Homer C, Zylstra G (2002) Derivation of a tasselled cap transformation based on Landsat 7 at-satellite reflectance. Int J Remote Sens 23(8):1741–1748</w:t>
      </w:r>
    </w:p>
    <w:p>
      <w:pPr>
        <w:pStyle w:val="10"/>
        <w:numPr>
          <w:ilvl w:val="0"/>
          <w:numId w:val="1"/>
        </w:numPr>
      </w:pPr>
      <w:r>
        <w:t>Crist EP, Kauth R J (1986b) The Tasseled Cap de-mystified. (Transformations of MSS and TM data)</w:t>
      </w:r>
    </w:p>
    <w:p>
      <w:pPr>
        <w:pStyle w:val="10"/>
        <w:numPr>
          <w:ilvl w:val="0"/>
          <w:numId w:val="1"/>
        </w:numPr>
      </w:pPr>
      <w:r>
        <w:t>Bannari A, Morin D, Bonn F, Huete AR (1995) A review of vegetation indices. Remote Sens Rev 13(1–2):95–120</w:t>
      </w:r>
    </w:p>
    <w:p>
      <w:pPr>
        <w:pStyle w:val="10"/>
        <w:numPr>
          <w:ilvl w:val="0"/>
          <w:numId w:val="1"/>
        </w:numPr>
      </w:pPr>
      <w:r>
        <w:t>Liu W, Yamazaki F (2012) Object-based shadow extraction and correction of high-resolution optical satellite images. IEEE J Select Topics Appl Earth Obs RemoteSens 5(4):1296–1302</w:t>
      </w:r>
    </w:p>
    <w:p>
      <w:pPr>
        <w:pStyle w:val="10"/>
        <w:numPr>
          <w:ilvl w:val="0"/>
          <w:numId w:val="1"/>
        </w:numPr>
      </w:pPr>
      <w:bookmarkStart w:id="0" w:name="_Hlk96170465"/>
      <w:r>
        <w:t>RJ Kauth, Thomas GS</w:t>
      </w:r>
      <w:bookmarkEnd w:id="0"/>
      <w:r>
        <w:t>. The tasseled cap: a graphic description of the spectral-temporal development of agricultural crops as seen by Landsat. Proc of the Symposium on Machine Processing of Remotely Sensed Data 1976; pp. 41-50.</w:t>
      </w:r>
    </w:p>
    <w:p>
      <w:pPr>
        <w:pStyle w:val="10"/>
        <w:numPr>
          <w:ilvl w:val="0"/>
          <w:numId w:val="1"/>
        </w:numPr>
      </w:pPr>
      <w:r>
        <w:t>Crist EP, Laurin R, Cicone RC. Vegetation and soils information contained in transformed thematic mapper data, in Proceedings of IGARSS' 1986 Symposium 1986.</w:t>
      </w:r>
    </w:p>
    <w:p>
      <w:pPr>
        <w:pStyle w:val="10"/>
        <w:numPr>
          <w:ilvl w:val="0"/>
          <w:numId w:val="1"/>
        </w:numPr>
      </w:pPr>
      <w:r>
        <w:t>Riano D, Meier E, Allgower B, Chuvieco E, Ustin SL. Modeling airborne laser scanning data for the spatial generation of critical forest parameters in fire behavior modeling. Remote Sens of Environ 2003; 86: 177-86. [doi:101016/S0034-4257(03)00098-1].</w:t>
      </w:r>
    </w:p>
    <w:p>
      <w:pPr>
        <w:pStyle w:val="10"/>
        <w:numPr>
          <w:ilvl w:val="0"/>
          <w:numId w:val="1"/>
        </w:numPr>
      </w:pPr>
      <w:bookmarkStart w:id="1" w:name="_Hlk96171040"/>
      <w:r>
        <w:t xml:space="preserve">Falkowski MJ, Gessler PE, Morgan P, Hudak AT, Smith AMS. </w:t>
      </w:r>
      <w:bookmarkEnd w:id="1"/>
      <w:r>
        <w:t>Characterizing and mapping forest fire fuels using ASTER imagery and gradient modeling. For Ecol Manage 2005; 217(2-3): 129-46. [doi:101016/jforeco200506013].</w:t>
      </w:r>
    </w:p>
    <w:p>
      <w:pPr>
        <w:pStyle w:val="10"/>
        <w:numPr>
          <w:ilvl w:val="0"/>
          <w:numId w:val="1"/>
        </w:numPr>
      </w:pPr>
      <w:r>
        <w:t>Keane RE, Mincemoyer SA, Schmidt KM, Long DG Garner, JL. Mapping vegetation and fuels for fire management on the Gila National Forest Complex, New Mexico, General Technical Report RMRSGTR46- CD, US Department of Agriculture Forest Service, Rocky Mountain Research Station, Ogden, Utah, 2002; pp. 1-126.</w:t>
      </w:r>
    </w:p>
    <w:p>
      <w:pPr>
        <w:pStyle w:val="10"/>
        <w:numPr>
          <w:ilvl w:val="0"/>
          <w:numId w:val="1"/>
        </w:numPr>
      </w:pPr>
      <w:r>
        <w:t>Kessell SR. Gradient modeling: resource and fire management. Springer Verlag: New York 1979.</w:t>
      </w:r>
    </w:p>
    <w:p>
      <w:pPr>
        <w:pStyle w:val="10"/>
        <w:numPr>
          <w:ilvl w:val="0"/>
          <w:numId w:val="1"/>
        </w:numPr>
      </w:pPr>
      <w:r>
        <w:t>Toomey M, Vierling LA. Multispectral remote sensing of landscape level foliar moisture: techniques and applications for forest ecosystem monitoring. Can J For Res 2005; 35(5): 1087-97. [doi:101139/x05-043]</w:t>
      </w:r>
    </w:p>
    <w:p>
      <w:pPr>
        <w:pStyle w:val="10"/>
        <w:numPr>
          <w:ilvl w:val="0"/>
          <w:numId w:val="1"/>
        </w:numPr>
      </w:pPr>
      <w:r>
        <w:t>Flasse SP, Ceccato P. A contextual algorithm for AVHRR fire detection. Int J Remote Sensing 1996; 17: 419-24. [doi:101080/01431169608949018].</w:t>
      </w:r>
    </w:p>
    <w:p>
      <w:pPr>
        <w:pStyle w:val="10"/>
        <w:numPr>
          <w:ilvl w:val="0"/>
          <w:numId w:val="1"/>
        </w:numPr>
      </w:pPr>
      <w:r>
        <w:t>Giglio L, Descloitres J, Justice CO, Kaufman YJ. An enhanced contextual fire detection algorithm for MODIS. Remote Sens Environ 2003; 87: 273-82. [doi:101016/S0034-4257(03)00184-6].</w:t>
      </w:r>
    </w:p>
    <w:p>
      <w:pPr>
        <w:pStyle w:val="10"/>
        <w:numPr>
          <w:ilvl w:val="0"/>
          <w:numId w:val="1"/>
        </w:numPr>
      </w:pPr>
      <w:r>
        <w:t>Li Y, Vodacek A, Kremens RL, Ononye A, Tang C. A hybrid contextual approach to wildland fire detection using multispectral imagery. IEEE Transactions on Geoscience and Remote Sensing 2005; 43(9): 2115-26. [doi:101109/TGRS2005853935].</w:t>
      </w:r>
    </w:p>
    <w:p>
      <w:pPr>
        <w:pStyle w:val="10"/>
        <w:numPr>
          <w:ilvl w:val="0"/>
          <w:numId w:val="1"/>
        </w:numPr>
      </w:pPr>
      <w:r>
        <w:t>Salvador R, Valeriano J, Pons X, Díaz-Delgado R. A semiautomatic methodology to detect fire scars in shrubs and evergreen forests with Landsat MSS time series. Int J Remote Sensing 2000; 21: 655-73. [doi:101080/014311600210498].</w:t>
      </w:r>
    </w:p>
    <w:p>
      <w:pPr>
        <w:pStyle w:val="10"/>
        <w:numPr>
          <w:ilvl w:val="0"/>
          <w:numId w:val="1"/>
        </w:numPr>
      </w:pPr>
      <w:r>
        <w:t>Cocke AE, Fulé PZ, Crouse JE. comparison of burn severity assessments using differenced normalized burn ratio and ground data. Int J Wildland Fire 2005; 14: 189-98. [doi:101071/WF04010].</w:t>
      </w:r>
    </w:p>
    <w:p>
      <w:pPr>
        <w:pStyle w:val="10"/>
        <w:numPr>
          <w:ilvl w:val="0"/>
          <w:numId w:val="1"/>
        </w:numPr>
      </w:pPr>
      <w:r>
        <w:t>Rogan J, Yool SR. Mapping fire-induced vegetation depletion in the Peloncillo Mountains, Arizona and New Mexico. Int J Remote Sensing 2001; 22(16): 3101-21. [doi:101080/01431160152558279].</w:t>
      </w:r>
    </w:p>
    <w:p>
      <w:pPr>
        <w:pStyle w:val="10"/>
        <w:numPr>
          <w:ilvl w:val="0"/>
          <w:numId w:val="1"/>
        </w:numPr>
      </w:pPr>
      <w:r>
        <w:t>Lieberman AR, Stow D, Rogan J, Franklin J. Mapping burn severity in southern California Mediterranean type vegetation using Landsat and IKONOS data. Proc of the 2004 10th Biennial Forest Svc Remote Sensing App Conf 2004.</w:t>
      </w:r>
    </w:p>
    <w:p>
      <w:pPr>
        <w:pStyle w:val="10"/>
        <w:numPr>
          <w:ilvl w:val="0"/>
          <w:numId w:val="1"/>
        </w:numPr>
      </w:pPr>
      <w:r>
        <w:t>Crist EP, Laurin R, Cicone RC. Vegetation and soils information contained in transformed thematic mapper data, in Proceedings of IGARSS' 1986 Symposium 1986.</w:t>
      </w:r>
    </w:p>
    <w:p>
      <w:pPr>
        <w:pStyle w:val="10"/>
        <w:numPr>
          <w:ilvl w:val="0"/>
          <w:numId w:val="1"/>
        </w:numPr>
      </w:pPr>
      <w:r>
        <w:t>Huang C, Wylie B, Yang L, Homer C, Zylstra G. Derivation of a tasseled cap transformation based on Landsat 7 at-satellite reflectance.</w:t>
      </w:r>
    </w:p>
    <w:p/>
    <w:p/>
    <w:p>
      <w:pPr>
        <w:rPr>
          <w:b/>
          <w:bCs/>
        </w:rPr>
      </w:pPr>
      <w:r>
        <w:rPr>
          <w:b/>
          <w:bCs/>
        </w:rPr>
        <w:t>References (Introduction):</w:t>
      </w:r>
    </w:p>
    <w:p>
      <w:pPr>
        <w:spacing w:before="100" w:beforeAutospacing="1" w:after="0" w:line="360" w:lineRule="auto"/>
        <w:rPr>
          <w:rFonts w:ascii="Times New Roman" w:hAnsi="Times New Roman" w:eastAsia="Times New Roman" w:cs="Times New Roman"/>
          <w:sz w:val="20"/>
          <w:szCs w:val="20"/>
        </w:rPr>
      </w:pPr>
      <w:r>
        <w:rPr>
          <w:rFonts w:ascii="Times New Roman" w:hAnsi="Times New Roman" w:eastAsia="Times New Roman" w:cs="Times New Roman"/>
          <w:color w:val="000000"/>
          <w:sz w:val="20"/>
          <w:szCs w:val="20"/>
        </w:rPr>
        <w:t>Contreras-Hermosilla A (2000) The underlying causes of forest decline. CIFOR. OCCASIONAL PAPER NO. 30. ISSN 0854-9818</w:t>
      </w:r>
    </w:p>
    <w:p>
      <w:pPr>
        <w:widowControl w:val="0"/>
        <w:autoSpaceDE w:val="0"/>
        <w:autoSpaceDN w:val="0"/>
        <w:adjustRightInd w:val="0"/>
        <w:spacing w:before="100" w:beforeAutospacing="1" w:after="0" w:line="360" w:lineRule="auto"/>
        <w:ind w:left="480" w:hanging="480"/>
        <w:rPr>
          <w:rFonts w:ascii="Times New Roman" w:hAnsi="Times New Roman" w:eastAsia="Calibri" w:cs="Times New Roman"/>
          <w:sz w:val="20"/>
          <w:szCs w:val="20"/>
        </w:rPr>
      </w:pPr>
      <w:r>
        <w:rPr>
          <w:rFonts w:ascii="Times New Roman" w:hAnsi="Times New Roman" w:eastAsia="Calibri" w:cs="Times New Roman"/>
          <w:i/>
          <w:iCs/>
          <w:sz w:val="20"/>
          <w:szCs w:val="20"/>
        </w:rPr>
        <w:t>Assessment of the Forest Health Through Remote Sensing Techniques in Valea Roșie Natura 2000 Site, Bihor County, Romania.pdf</w:t>
      </w:r>
      <w:r>
        <w:rPr>
          <w:rFonts w:ascii="Times New Roman" w:hAnsi="Times New Roman" w:eastAsia="Calibri" w:cs="Times New Roman"/>
          <w:sz w:val="20"/>
          <w:szCs w:val="20"/>
        </w:rPr>
        <w:t>. (n.d.).</w:t>
      </w:r>
    </w:p>
    <w:p>
      <w:pPr>
        <w:widowControl w:val="0"/>
        <w:autoSpaceDE w:val="0"/>
        <w:autoSpaceDN w:val="0"/>
        <w:adjustRightInd w:val="0"/>
        <w:spacing w:before="100" w:beforeAutospacing="1" w:after="0" w:line="360" w:lineRule="auto"/>
        <w:ind w:left="480" w:hanging="480"/>
        <w:rPr>
          <w:rFonts w:ascii="Times New Roman" w:hAnsi="Times New Roman" w:eastAsia="Calibri" w:cs="Times New Roman"/>
          <w:sz w:val="20"/>
          <w:szCs w:val="20"/>
        </w:rPr>
      </w:pPr>
      <w:r>
        <w:rPr>
          <w:rFonts w:ascii="Times New Roman" w:hAnsi="Times New Roman" w:eastAsia="Calibri" w:cs="Times New Roman"/>
          <w:sz w:val="20"/>
          <w:szCs w:val="20"/>
        </w:rPr>
        <w:t xml:space="preserve">King, I. O. D. J. (2000). </w:t>
      </w:r>
      <w:r>
        <w:rPr>
          <w:rFonts w:ascii="Times New Roman" w:hAnsi="Times New Roman" w:eastAsia="Calibri" w:cs="Times New Roman"/>
          <w:i/>
          <w:iCs/>
          <w:sz w:val="20"/>
          <w:szCs w:val="20"/>
        </w:rPr>
        <w:t>Development of a Forest Health Index Using Multispectral Airborne Digital Camera Imagery</w:t>
      </w:r>
      <w:r>
        <w:rPr>
          <w:rFonts w:ascii="Times New Roman" w:hAnsi="Times New Roman" w:eastAsia="Calibri" w:cs="Times New Roman"/>
          <w:sz w:val="20"/>
          <w:szCs w:val="20"/>
        </w:rPr>
        <w:t>.</w:t>
      </w:r>
    </w:p>
    <w:p>
      <w:pPr>
        <w:widowControl w:val="0"/>
        <w:autoSpaceDE w:val="0"/>
        <w:autoSpaceDN w:val="0"/>
        <w:adjustRightInd w:val="0"/>
        <w:spacing w:before="100" w:beforeAutospacing="1" w:after="0" w:line="360" w:lineRule="auto"/>
        <w:ind w:left="480" w:hanging="480"/>
        <w:rPr>
          <w:rFonts w:ascii="Times New Roman" w:hAnsi="Times New Roman" w:eastAsia="Calibri" w:cs="Times New Roman"/>
          <w:sz w:val="20"/>
          <w:szCs w:val="20"/>
        </w:rPr>
      </w:pPr>
      <w:r>
        <w:rPr>
          <w:rFonts w:ascii="Times New Roman" w:hAnsi="Times New Roman" w:eastAsia="Calibri" w:cs="Times New Roman"/>
          <w:sz w:val="20"/>
          <w:szCs w:val="20"/>
        </w:rPr>
        <w:t xml:space="preserve">Sahana, M., Sajjad, H., &amp; Ahmed, R. (2015). Assessing Spatio-temporal health of forest cover using forest canopy density model and forest fragmentation approach in Sundarban reserve forest, India. </w:t>
      </w:r>
      <w:r>
        <w:rPr>
          <w:rFonts w:ascii="Times New Roman" w:hAnsi="Times New Roman" w:eastAsia="Calibri" w:cs="Times New Roman"/>
          <w:i/>
          <w:iCs/>
          <w:sz w:val="20"/>
          <w:szCs w:val="20"/>
        </w:rPr>
        <w:t>Modeling Earth Systems and Environment</w:t>
      </w:r>
      <w:r>
        <w:rPr>
          <w:rFonts w:ascii="Times New Roman" w:hAnsi="Times New Roman" w:eastAsia="Calibri" w:cs="Times New Roman"/>
          <w:sz w:val="20"/>
          <w:szCs w:val="20"/>
        </w:rPr>
        <w:t xml:space="preserve">, </w:t>
      </w:r>
      <w:r>
        <w:rPr>
          <w:rFonts w:ascii="Times New Roman" w:hAnsi="Times New Roman" w:eastAsia="Calibri" w:cs="Times New Roman"/>
          <w:i/>
          <w:iCs/>
          <w:sz w:val="20"/>
          <w:szCs w:val="20"/>
        </w:rPr>
        <w:t>1</w:t>
      </w:r>
      <w:r>
        <w:rPr>
          <w:rFonts w:ascii="Times New Roman" w:hAnsi="Times New Roman" w:eastAsia="Calibri" w:cs="Times New Roman"/>
          <w:sz w:val="20"/>
          <w:szCs w:val="20"/>
        </w:rPr>
        <w:t>(4), 1–10. https://doi.org/10.1007/s40808-015-0043-0</w:t>
      </w:r>
    </w:p>
    <w:p>
      <w:pPr>
        <w:widowControl w:val="0"/>
        <w:autoSpaceDE w:val="0"/>
        <w:autoSpaceDN w:val="0"/>
        <w:adjustRightInd w:val="0"/>
        <w:spacing w:before="100" w:beforeAutospacing="1" w:after="0" w:line="360" w:lineRule="auto"/>
        <w:ind w:left="480" w:hanging="480"/>
        <w:rPr>
          <w:rFonts w:ascii="Times New Roman" w:hAnsi="Times New Roman" w:eastAsia="Calibri" w:cs="Times New Roman"/>
          <w:sz w:val="20"/>
          <w:szCs w:val="20"/>
        </w:rPr>
      </w:pPr>
      <w:r>
        <w:rPr>
          <w:rFonts w:ascii="Times New Roman" w:hAnsi="Times New Roman" w:eastAsia="Calibri" w:cs="Times New Roman"/>
          <w:sz w:val="20"/>
          <w:szCs w:val="20"/>
        </w:rPr>
        <w:t xml:space="preserve">Talukdar, N. R., Ahmed, R., Choudhury, P., &amp; Akter, N. (2019). Assessment of forest health status using a forest fragmentation approach : a study in Patharia Hills Reserve Forest, northeast India. </w:t>
      </w:r>
      <w:r>
        <w:rPr>
          <w:rFonts w:ascii="Times New Roman" w:hAnsi="Times New Roman" w:eastAsia="Calibri" w:cs="Times New Roman"/>
          <w:i/>
          <w:iCs/>
          <w:sz w:val="20"/>
          <w:szCs w:val="20"/>
        </w:rPr>
        <w:t>Modeling Earth Systems and Environment</w:t>
      </w:r>
      <w:r>
        <w:rPr>
          <w:rFonts w:ascii="Times New Roman" w:hAnsi="Times New Roman" w:eastAsia="Calibri" w:cs="Times New Roman"/>
          <w:sz w:val="20"/>
          <w:szCs w:val="20"/>
        </w:rPr>
        <w:t xml:space="preserve">, </w:t>
      </w:r>
      <w:r>
        <w:rPr>
          <w:rFonts w:ascii="Times New Roman" w:hAnsi="Times New Roman" w:eastAsia="Calibri" w:cs="Times New Roman"/>
          <w:i/>
          <w:iCs/>
          <w:sz w:val="20"/>
          <w:szCs w:val="20"/>
        </w:rPr>
        <w:t>0123456789</w:t>
      </w:r>
      <w:r>
        <w:rPr>
          <w:rFonts w:ascii="Times New Roman" w:hAnsi="Times New Roman" w:eastAsia="Calibri" w:cs="Times New Roman"/>
          <w:sz w:val="20"/>
          <w:szCs w:val="20"/>
        </w:rPr>
        <w:t>. https://doi.org/10.1007/s40808-019-00652-5</w:t>
      </w:r>
    </w:p>
    <w:p>
      <w:pPr>
        <w:spacing w:before="100" w:beforeAutospacing="1" w:after="0" w:line="256" w:lineRule="auto"/>
        <w:rPr>
          <w:rFonts w:ascii="Times New Roman" w:hAnsi="Times New Roman" w:eastAsia="Times New Roman" w:cs="Times New Roman"/>
          <w:sz w:val="24"/>
          <w:szCs w:val="24"/>
        </w:rPr>
      </w:pPr>
      <w:r>
        <w:rPr>
          <w:rFonts w:ascii="BgqpgjAdvTT3713a231" w:hAnsi="BgqpgjAdvTT3713a231" w:eastAsia="Times New Roman" w:cs="Times New Roman"/>
          <w:color w:val="131413"/>
          <w:sz w:val="17"/>
          <w:szCs w:val="17"/>
        </w:rPr>
        <w:t xml:space="preserve">Nemani, R. R., Running, S. W., Pielke, R. A., &amp; Chase, T. N. (1996). Global vegetation cover changes from coarse resolution satellite </w:t>
      </w:r>
    </w:p>
    <w:p>
      <w:pPr>
        <w:spacing w:before="100" w:beforeAutospacing="1" w:line="256" w:lineRule="auto"/>
        <w:rPr>
          <w:rFonts w:ascii="BgqpgjAdvTT3713a231" w:hAnsi="BgqpgjAdvTT3713a231" w:eastAsia="Times New Roman" w:cs="Times New Roman"/>
          <w:color w:val="131413"/>
          <w:sz w:val="17"/>
          <w:szCs w:val="17"/>
        </w:rPr>
      </w:pPr>
      <w:r>
        <w:rPr>
          <w:rFonts w:ascii="BgqpgjAdvTT3713a231" w:hAnsi="BgqpgjAdvTT3713a231" w:eastAsia="Times New Roman" w:cs="Times New Roman"/>
          <w:color w:val="131413"/>
          <w:sz w:val="17"/>
          <w:szCs w:val="17"/>
        </w:rPr>
        <w:t xml:space="preserve">data. </w:t>
      </w:r>
      <w:r>
        <w:rPr>
          <w:rFonts w:ascii="MnnncpAdvTT50a2f13e.I" w:hAnsi="MnnncpAdvTT50a2f13e.I" w:eastAsia="Times New Roman" w:cs="Times New Roman"/>
          <w:color w:val="131413"/>
          <w:sz w:val="17"/>
          <w:szCs w:val="17"/>
        </w:rPr>
        <w:t>Journal of Geophysical Research, 10</w:t>
      </w:r>
      <w:r>
        <w:rPr>
          <w:rFonts w:ascii="BgqpgjAdvTT3713a231" w:hAnsi="BgqpgjAdvTT3713a231" w:eastAsia="Times New Roman" w:cs="Times New Roman"/>
          <w:color w:val="131413"/>
          <w:sz w:val="17"/>
          <w:szCs w:val="17"/>
        </w:rPr>
        <w:t>(95), 7157</w:t>
      </w:r>
      <w:r>
        <w:rPr>
          <w:rFonts w:ascii="YjjxcyAdvTT3713a231+20" w:hAnsi="YjjxcyAdvTT3713a231+20" w:eastAsia="Times New Roman" w:cs="Times New Roman"/>
          <w:color w:val="131413"/>
          <w:sz w:val="17"/>
          <w:szCs w:val="17"/>
        </w:rPr>
        <w:t>–</w:t>
      </w:r>
      <w:r>
        <w:rPr>
          <w:rFonts w:ascii="BgqpgjAdvTT3713a231" w:hAnsi="BgqpgjAdvTT3713a231" w:eastAsia="Times New Roman" w:cs="Times New Roman"/>
          <w:color w:val="131413"/>
          <w:sz w:val="17"/>
          <w:szCs w:val="17"/>
        </w:rPr>
        <w:t>7162.</w:t>
      </w:r>
    </w:p>
    <w:p>
      <w:pPr>
        <w:spacing w:before="100" w:beforeAutospacing="1" w:after="0" w:line="256" w:lineRule="auto"/>
        <w:rPr>
          <w:rFonts w:ascii="Times New Roman" w:hAnsi="Times New Roman" w:eastAsia="Times New Roman" w:cs="Times New Roman"/>
          <w:sz w:val="24"/>
          <w:szCs w:val="24"/>
        </w:rPr>
      </w:pPr>
      <w:r>
        <w:rPr>
          <w:rFonts w:ascii="BgqpgjAdvTT3713a231" w:hAnsi="BgqpgjAdvTT3713a231" w:eastAsia="Times New Roman" w:cs="Times New Roman"/>
          <w:color w:val="131413"/>
          <w:sz w:val="17"/>
          <w:szCs w:val="17"/>
        </w:rPr>
        <w:t xml:space="preserve">Rogan, J., Franklin, J., &amp; Roberts, D. A. (2002). A comparison of methods for monitoring multitemporal vegetation change using </w:t>
      </w:r>
    </w:p>
    <w:p>
      <w:pPr>
        <w:spacing w:before="100" w:beforeAutospacing="1" w:after="0" w:line="256" w:lineRule="auto"/>
        <w:rPr>
          <w:rFonts w:ascii="BgqpgjAdvTT3713a231" w:hAnsi="BgqpgjAdvTT3713a231" w:eastAsia="Times New Roman" w:cs="Times New Roman"/>
          <w:color w:val="131413"/>
          <w:sz w:val="17"/>
          <w:szCs w:val="17"/>
        </w:rPr>
      </w:pPr>
      <w:r>
        <w:rPr>
          <w:rFonts w:ascii="BgqpgjAdvTT3713a231" w:hAnsi="BgqpgjAdvTT3713a231" w:eastAsia="Times New Roman" w:cs="Times New Roman"/>
          <w:color w:val="131413"/>
          <w:sz w:val="17"/>
          <w:szCs w:val="17"/>
        </w:rPr>
        <w:t xml:space="preserve">Thematic Mapper imagery. </w:t>
      </w:r>
      <w:r>
        <w:rPr>
          <w:rFonts w:ascii="MnnncpAdvTT50a2f13e.I" w:hAnsi="MnnncpAdvTT50a2f13e.I" w:eastAsia="Times New Roman" w:cs="Times New Roman"/>
          <w:color w:val="131413"/>
          <w:sz w:val="17"/>
          <w:szCs w:val="17"/>
        </w:rPr>
        <w:t>Remote Sensing of Environment, 80</w:t>
      </w:r>
      <w:r>
        <w:rPr>
          <w:rFonts w:ascii="BgqpgjAdvTT3713a231" w:hAnsi="BgqpgjAdvTT3713a231" w:eastAsia="Times New Roman" w:cs="Times New Roman"/>
          <w:color w:val="131413"/>
          <w:sz w:val="17"/>
          <w:szCs w:val="17"/>
        </w:rPr>
        <w:t>(1), 143</w:t>
      </w:r>
      <w:r>
        <w:rPr>
          <w:rFonts w:ascii="YjjxcyAdvTT3713a231+20" w:hAnsi="YjjxcyAdvTT3713a231+20" w:eastAsia="Times New Roman" w:cs="Times New Roman"/>
          <w:color w:val="131413"/>
          <w:sz w:val="17"/>
          <w:szCs w:val="17"/>
        </w:rPr>
        <w:t>–</w:t>
      </w:r>
      <w:r>
        <w:rPr>
          <w:rFonts w:ascii="BgqpgjAdvTT3713a231" w:hAnsi="BgqpgjAdvTT3713a231" w:eastAsia="Times New Roman" w:cs="Times New Roman"/>
          <w:color w:val="131413"/>
          <w:sz w:val="17"/>
          <w:szCs w:val="17"/>
        </w:rPr>
        <w:t>156.</w:t>
      </w:r>
    </w:p>
    <w:p>
      <w:pPr>
        <w:spacing w:before="100" w:beforeAutospacing="1" w:after="0" w:line="256" w:lineRule="auto"/>
        <w:rPr>
          <w:rFonts w:ascii="BgqpgjAdvTT3713a231" w:hAnsi="BgqpgjAdvTT3713a231" w:eastAsia="Times New Roman" w:cs="Times New Roman"/>
          <w:color w:val="131413"/>
          <w:sz w:val="17"/>
          <w:szCs w:val="17"/>
        </w:rPr>
      </w:pPr>
      <w:r>
        <w:rPr>
          <w:rFonts w:ascii="BgqpgjAdvTT3713a231" w:hAnsi="BgqpgjAdvTT3713a231" w:eastAsia="Times New Roman" w:cs="Times New Roman"/>
          <w:color w:val="131413"/>
          <w:sz w:val="17"/>
          <w:szCs w:val="17"/>
        </w:rPr>
        <w:t xml:space="preserve"> </w:t>
      </w:r>
    </w:p>
    <w:p>
      <w:pPr>
        <w:spacing w:before="100" w:beforeAutospacing="1" w:line="256" w:lineRule="auto"/>
        <w:rPr>
          <w:rFonts w:ascii="Times New Roman" w:hAnsi="Times New Roman" w:eastAsia="CharisSIL" w:cs="Times New Roman"/>
          <w:sz w:val="20"/>
          <w:szCs w:val="20"/>
        </w:rPr>
      </w:pPr>
      <w:r>
        <w:rPr>
          <w:rFonts w:ascii="Times New Roman" w:hAnsi="Times New Roman" w:eastAsia="CharisSIL" w:cs="Times New Roman"/>
          <w:sz w:val="20"/>
          <w:szCs w:val="20"/>
        </w:rPr>
        <w:t>Lévesque, J., King, D.J., 2003. Spatial analysis of radiometric fractions from high-resolution multispectral imagery for modeling individual tree crown and forest canopy structure and health. Remote Sens. Environ. 84 (4), 589–602.</w:t>
      </w:r>
    </w:p>
    <w:p>
      <w:pPr>
        <w:spacing w:before="100" w:beforeAutospacing="1" w:line="256" w:lineRule="auto"/>
        <w:rPr>
          <w:rFonts w:ascii="Times New Roman" w:hAnsi="Times New Roman" w:eastAsia="CharisSIL" w:cs="Times New Roman"/>
          <w:sz w:val="20"/>
          <w:szCs w:val="20"/>
        </w:rPr>
      </w:pPr>
      <w:r>
        <w:rPr>
          <w:rFonts w:ascii="Times New Roman" w:hAnsi="Times New Roman" w:eastAsia="CharisSIL" w:cs="Times New Roman"/>
          <w:sz w:val="20"/>
          <w:szCs w:val="20"/>
        </w:rPr>
        <w:t xml:space="preserve"> </w:t>
      </w:r>
    </w:p>
    <w:p>
      <w:pPr>
        <w:spacing w:before="100" w:beforeAutospacing="1" w:line="256" w:lineRule="auto"/>
        <w:jc w:val="both"/>
        <w:rPr>
          <w:rFonts w:ascii="Times New Roman" w:hAnsi="Times New Roman" w:eastAsia="Calibri" w:cs="Times New Roman"/>
          <w:sz w:val="20"/>
          <w:szCs w:val="20"/>
        </w:rPr>
      </w:pPr>
      <w:r>
        <w:rPr>
          <w:rFonts w:ascii="Times New Roman" w:hAnsi="Times New Roman" w:eastAsia="CharisSIL" w:cs="Times New Roman"/>
          <w:sz w:val="20"/>
          <w:szCs w:val="20"/>
        </w:rPr>
        <w:t>Johnson, P.S., Shifley, S.R., Rogers, R., 2009. The Ecology and Silviculture of Oaks. CABI.</w:t>
      </w:r>
    </w:p>
    <w:p>
      <w:pPr>
        <w:spacing w:before="100" w:beforeAutospacing="1" w:line="256" w:lineRule="auto"/>
        <w:jc w:val="both"/>
        <w:rPr>
          <w:rFonts w:ascii="Times New Roman" w:hAnsi="Times New Roman" w:eastAsia="CharisSIL" w:cs="Times New Roman"/>
          <w:sz w:val="20"/>
          <w:szCs w:val="20"/>
        </w:rPr>
      </w:pPr>
      <w:r>
        <w:rPr>
          <w:rFonts w:ascii="Times New Roman" w:hAnsi="Times New Roman" w:eastAsia="CharisSIL" w:cs="Times New Roman"/>
          <w:sz w:val="20"/>
          <w:szCs w:val="20"/>
        </w:rPr>
        <w:t xml:space="preserve"> </w:t>
      </w:r>
    </w:p>
    <w:p>
      <w:pPr>
        <w:spacing w:before="100" w:beforeAutospacing="1" w:line="256" w:lineRule="auto"/>
        <w:rPr>
          <w:rFonts w:ascii="Times New Roman" w:hAnsi="Times New Roman" w:eastAsia="CharisSIL" w:cs="Times New Roman"/>
          <w:color w:val="000000"/>
          <w:sz w:val="20"/>
          <w:szCs w:val="20"/>
        </w:rPr>
      </w:pPr>
      <w:r>
        <w:rPr>
          <w:rFonts w:ascii="Times New Roman" w:hAnsi="Times New Roman" w:eastAsia="CharisSIL" w:cs="Times New Roman"/>
          <w:color w:val="000000"/>
          <w:sz w:val="20"/>
          <w:szCs w:val="20"/>
        </w:rPr>
        <w:t>Ciesla, W. M. (2000). Remote sensing in forest health protection.</w:t>
      </w:r>
    </w:p>
    <w:p>
      <w:pPr>
        <w:spacing w:before="100" w:beforeAutospacing="1" w:line="256" w:lineRule="auto"/>
        <w:rPr>
          <w:rFonts w:ascii="Times New Roman" w:hAnsi="Times New Roman" w:eastAsia="CharisSIL" w:cs="Times New Roman"/>
          <w:color w:val="000000"/>
          <w:sz w:val="20"/>
          <w:szCs w:val="20"/>
        </w:rPr>
      </w:pPr>
      <w:r>
        <w:rPr>
          <w:rFonts w:ascii="Times New Roman" w:hAnsi="Times New Roman" w:eastAsia="CharisSIL" w:cs="Times New Roman"/>
          <w:color w:val="000000"/>
          <w:sz w:val="20"/>
          <w:szCs w:val="20"/>
        </w:rPr>
        <w:t xml:space="preserve"> </w:t>
      </w:r>
    </w:p>
    <w:p>
      <w:pPr>
        <w:spacing w:before="100" w:beforeAutospacing="1" w:line="256" w:lineRule="auto"/>
        <w:rPr>
          <w:rFonts w:ascii="Times New Roman" w:hAnsi="Times New Roman" w:eastAsia="Calibri" w:cs="Times New Roman"/>
          <w:sz w:val="20"/>
          <w:szCs w:val="20"/>
        </w:rPr>
      </w:pPr>
      <w:r>
        <w:rPr>
          <w:rFonts w:ascii="Times New Roman" w:hAnsi="Times New Roman" w:eastAsia="CharisSIL" w:cs="Times New Roman"/>
          <w:color w:val="0D7FAC"/>
          <w:sz w:val="20"/>
          <w:szCs w:val="20"/>
        </w:rPr>
        <w:t xml:space="preserve">Moore, B., Allard, G., 2008. Climate Change Impacts on Forest Health. Forest Health and </w:t>
      </w:r>
    </w:p>
    <w:p>
      <w:pPr>
        <w:spacing w:before="100" w:beforeAutospacing="1" w:line="256" w:lineRule="auto"/>
        <w:rPr>
          <w:rFonts w:ascii="Times New Roman" w:hAnsi="Times New Roman" w:eastAsia="Calibri" w:cs="Times New Roman"/>
          <w:sz w:val="20"/>
          <w:szCs w:val="20"/>
        </w:rPr>
      </w:pPr>
      <w:r>
        <w:rPr>
          <w:rFonts w:ascii="Times New Roman" w:hAnsi="Times New Roman" w:eastAsia="CharisSIL" w:cs="Times New Roman"/>
          <w:color w:val="0D7FAC"/>
          <w:sz w:val="20"/>
          <w:szCs w:val="20"/>
        </w:rPr>
        <w:t>Biosecurity Working Papers (FAO)</w:t>
      </w:r>
      <w:r>
        <w:rPr>
          <w:rFonts w:ascii="Times New Roman" w:hAnsi="Times New Roman" w:eastAsia="CharisSIL" w:cs="Times New Roman"/>
          <w:color w:val="000000"/>
          <w:sz w:val="20"/>
          <w:szCs w:val="20"/>
        </w:rPr>
        <w:t>.</w:t>
      </w:r>
    </w:p>
    <w:p>
      <w:pPr>
        <w:spacing w:after="0" w:line="240" w:lineRule="auto"/>
        <w:rPr>
          <w:rFonts w:ascii="Times New Roman" w:hAnsi="Times New Roman" w:eastAsia="Times New Roman" w:cs="Times New Roman"/>
          <w:sz w:val="24"/>
          <w:szCs w:val="24"/>
        </w:rPr>
      </w:pPr>
      <w:r>
        <w:rPr>
          <w:rFonts w:ascii="STIX" w:hAnsi="STIX" w:eastAsia="Times New Roman" w:cs="Times New Roman"/>
          <w:color w:val="000000"/>
          <w:sz w:val="17"/>
          <w:szCs w:val="17"/>
        </w:rPr>
        <w:t>Fahrig L (2003) Effects of habitat fragmentation on biodiversity. Annu Rev Ecol Evol Syst 34:487–515</w:t>
      </w:r>
    </w:p>
    <w:p>
      <w:pPr>
        <w:spacing w:after="0" w:line="240" w:lineRule="auto"/>
        <w:rPr>
          <w:rFonts w:ascii="Times New Roman" w:hAnsi="Times New Roman" w:eastAsia="Times New Roman" w:cs="Times New Roman"/>
          <w:sz w:val="24"/>
          <w:szCs w:val="24"/>
        </w:rPr>
      </w:pPr>
    </w:p>
    <w:p>
      <w:pPr>
        <w:spacing w:after="0" w:line="240" w:lineRule="auto"/>
        <w:rPr>
          <w:rFonts w:ascii="STIX" w:hAnsi="STIX" w:eastAsia="Times New Roman" w:cs="Times New Roman"/>
          <w:color w:val="000000"/>
          <w:sz w:val="17"/>
          <w:szCs w:val="17"/>
        </w:rPr>
      </w:pPr>
      <w:r>
        <w:rPr>
          <w:rFonts w:ascii="STIX" w:hAnsi="STIX" w:eastAsia="Times New Roman" w:cs="Times New Roman"/>
          <w:color w:val="000000"/>
          <w:sz w:val="17"/>
          <w:szCs w:val="17"/>
        </w:rPr>
        <w:t>Carroll C, Noss RF, Paquet PC, Schumaker NH (2004) Extinction debt of protected areas in developing landscapes. Conserv Biol 18:1110–1120</w:t>
      </w:r>
    </w:p>
    <w:p>
      <w:pPr>
        <w:spacing w:after="0" w:line="240" w:lineRule="auto"/>
        <w:rPr>
          <w:rFonts w:ascii="STIX" w:hAnsi="STIX" w:eastAsia="Times New Roman" w:cs="Times New Roman"/>
          <w:color w:val="000000"/>
          <w:sz w:val="17"/>
          <w:szCs w:val="17"/>
        </w:rPr>
      </w:pPr>
    </w:p>
    <w:p>
      <w:pPr>
        <w:spacing w:after="0" w:line="240" w:lineRule="auto"/>
        <w:rPr>
          <w:rFonts w:ascii="STIX" w:hAnsi="STIX" w:eastAsia="Times New Roman" w:cs="Times New Roman"/>
          <w:color w:val="000000"/>
          <w:sz w:val="17"/>
          <w:szCs w:val="17"/>
        </w:rPr>
      </w:pPr>
    </w:p>
    <w:p>
      <w:pPr>
        <w:spacing w:after="0" w:line="240" w:lineRule="auto"/>
        <w:rPr>
          <w:rFonts w:eastAsia="Times New Roman" w:asciiTheme="majorHAnsi" w:hAnsiTheme="majorHAnsi" w:cstheme="majorHAnsi"/>
          <w:b/>
          <w:bCs/>
          <w:color w:val="000000"/>
          <w:sz w:val="28"/>
          <w:szCs w:val="28"/>
        </w:rPr>
      </w:pPr>
      <w:r>
        <w:rPr>
          <w:rFonts w:eastAsia="Times New Roman" w:asciiTheme="majorHAnsi" w:hAnsiTheme="majorHAnsi" w:cstheme="majorHAnsi"/>
          <w:b/>
          <w:bCs/>
          <w:color w:val="000000"/>
          <w:sz w:val="28"/>
          <w:szCs w:val="28"/>
        </w:rPr>
        <w:t>References (study area)</w:t>
      </w:r>
    </w:p>
    <w:p>
      <w:pPr>
        <w:widowControl w:val="0"/>
        <w:autoSpaceDE w:val="0"/>
        <w:autoSpaceDN w:val="0"/>
        <w:adjustRightInd w:val="0"/>
        <w:spacing w:beforeAutospacing="1"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fldLock="1"/>
      </w:r>
      <w:r>
        <w:rPr>
          <w:rFonts w:ascii="Times New Roman" w:hAnsi="Times New Roman" w:eastAsia="Times New Roman" w:cs="Times New Roman"/>
          <w:sz w:val="24"/>
          <w:szCs w:val="24"/>
        </w:rPr>
        <w:instrText xml:space="preserve">ADDIN Mendeley Bibliography CSL_BIBLIOGRAPHY </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i/>
          <w:iCs/>
          <w:sz w:val="24"/>
          <w:szCs w:val="24"/>
        </w:rPr>
        <w:t>Assessment of the Forest Health Through Remote Sensing Techniques in Valea Roșie Natura 2000 Site, Bihor County, Romania.pdf</w:t>
      </w:r>
      <w:r>
        <w:rPr>
          <w:rFonts w:ascii="Times New Roman" w:hAnsi="Times New Roman" w:eastAsia="Times New Roman" w:cs="Times New Roman"/>
          <w:sz w:val="24"/>
          <w:szCs w:val="24"/>
        </w:rPr>
        <w:t>. (n.d.).</w:t>
      </w:r>
    </w:p>
    <w:p>
      <w:pPr>
        <w:widowControl w:val="0"/>
        <w:autoSpaceDE w:val="0"/>
        <w:autoSpaceDN w:val="0"/>
        <w:adjustRightInd w:val="0"/>
        <w:spacing w:beforeAutospacing="1" w:after="0" w:line="240" w:lineRule="auto"/>
        <w:ind w:left="480" w:hanging="4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Islam, M. K., Saha, S., Mahmud, I., Mohamad, K., Awang, K., Jamal Uddin, S., Rahman, M. M., &amp; Shilpi, J. A. (2014). An ethnobotanical study of medicinal plants used by tribal and native people of Madhupur forest area, Bangladesh. </w:t>
      </w:r>
      <w:r>
        <w:rPr>
          <w:rFonts w:ascii="Times New Roman" w:hAnsi="Times New Roman" w:eastAsia="Times New Roman" w:cs="Times New Roman"/>
          <w:i/>
          <w:iCs/>
          <w:sz w:val="24"/>
          <w:szCs w:val="24"/>
        </w:rPr>
        <w:t>Journal of Ethnopharmacology</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151</w:t>
      </w:r>
      <w:r>
        <w:rPr>
          <w:rFonts w:ascii="Times New Roman" w:hAnsi="Times New Roman" w:eastAsia="Times New Roman" w:cs="Times New Roman"/>
          <w:sz w:val="24"/>
          <w:szCs w:val="24"/>
        </w:rPr>
        <w:t>(2), 921–930. https://doi.org/10.1016/j.jep.2013.11.056</w:t>
      </w:r>
    </w:p>
    <w:p>
      <w:pPr>
        <w:widowControl w:val="0"/>
        <w:autoSpaceDE w:val="0"/>
        <w:autoSpaceDN w:val="0"/>
        <w:adjustRightInd w:val="0"/>
        <w:spacing w:beforeAutospacing="1" w:after="0" w:line="240" w:lineRule="auto"/>
        <w:ind w:left="480" w:hanging="4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Kayet, N., Pathak, K., Chakrabarty, A., Singh, C. P., &amp; Chowdary, V. M. (2019). Forest health assessment for geo-environmental planning and management in hilltop mining areas using Hyperion and Landsat data. </w:t>
      </w:r>
      <w:r>
        <w:rPr>
          <w:rFonts w:ascii="Times New Roman" w:hAnsi="Times New Roman" w:eastAsia="Times New Roman" w:cs="Times New Roman"/>
          <w:i/>
          <w:iCs/>
          <w:sz w:val="24"/>
          <w:szCs w:val="24"/>
        </w:rPr>
        <w:t>Ecological Indicators</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106</w:t>
      </w:r>
      <w:r>
        <w:rPr>
          <w:rFonts w:ascii="Times New Roman" w:hAnsi="Times New Roman" w:eastAsia="Times New Roman" w:cs="Times New Roman"/>
          <w:sz w:val="24"/>
          <w:szCs w:val="24"/>
        </w:rPr>
        <w:t>(June), 105471. https://doi.org/10.1016/j.ecolind.2019.105471</w:t>
      </w:r>
    </w:p>
    <w:p>
      <w:pPr>
        <w:widowControl w:val="0"/>
        <w:autoSpaceDE w:val="0"/>
        <w:autoSpaceDN w:val="0"/>
        <w:adjustRightInd w:val="0"/>
        <w:spacing w:beforeAutospacing="1" w:after="0" w:line="240" w:lineRule="auto"/>
        <w:ind w:left="480" w:hanging="480"/>
        <w:rPr>
          <w:rFonts w:ascii="Times New Roman" w:hAnsi="Times New Roman" w:eastAsia="Times New Roman" w:cs="Times New Roman"/>
          <w:sz w:val="24"/>
        </w:rPr>
      </w:pPr>
      <w:r>
        <w:rPr>
          <w:rFonts w:ascii="Times New Roman" w:hAnsi="Times New Roman" w:eastAsia="Times New Roman" w:cs="Times New Roman"/>
          <w:sz w:val="24"/>
          <w:szCs w:val="24"/>
        </w:rPr>
        <w:t xml:space="preserve">King, I. O. D. J. (2000). </w:t>
      </w:r>
      <w:r>
        <w:rPr>
          <w:rFonts w:ascii="Times New Roman" w:hAnsi="Times New Roman" w:eastAsia="Times New Roman" w:cs="Times New Roman"/>
          <w:i/>
          <w:iCs/>
          <w:sz w:val="24"/>
          <w:szCs w:val="24"/>
        </w:rPr>
        <w:t>Development of a Forest Health Index Using Multispectral Airborne Digital Camera Imagery</w:t>
      </w:r>
      <w:r>
        <w:rPr>
          <w:rFonts w:ascii="Times New Roman" w:hAnsi="Times New Roman" w:eastAsia="Times New Roman" w:cs="Times New Roman"/>
          <w:sz w:val="24"/>
          <w:szCs w:val="24"/>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end"/>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231916"/>
          <w:sz w:val="23"/>
          <w:szCs w:val="23"/>
        </w:rPr>
        <w:t xml:space="preserve">FRA (2015) Forest Resources Assessment, country report Bangladesh, 2015.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231916"/>
          <w:sz w:val="23"/>
          <w:szCs w:val="23"/>
        </w:rPr>
        <w:t xml:space="preserve">Available from: http://www.fao.org/3/a-az161e.pdf (Accessed on September 5, </w:t>
      </w:r>
    </w:p>
    <w:p>
      <w:pPr>
        <w:spacing w:after="0" w:line="240" w:lineRule="auto"/>
        <w:rPr>
          <w:rFonts w:ascii="Times New Roman" w:hAnsi="Times New Roman" w:eastAsia="Times New Roman" w:cs="Times New Roman"/>
          <w:color w:val="231916"/>
          <w:sz w:val="23"/>
          <w:szCs w:val="23"/>
        </w:rPr>
      </w:pPr>
      <w:r>
        <w:rPr>
          <w:rFonts w:ascii="Times New Roman" w:hAnsi="Times New Roman" w:eastAsia="Times New Roman" w:cs="Times New Roman"/>
          <w:color w:val="231916"/>
          <w:sz w:val="23"/>
          <w:szCs w:val="23"/>
        </w:rPr>
        <w:t>2015)</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231F20"/>
          <w:sz w:val="24"/>
          <w:szCs w:val="24"/>
        </w:rPr>
        <w:t>Banglapedia, 2003. National Encyclopedia of Bangladesh. Asiatic Society of Bangladesh, Dhaka, Bangladesh.</w:t>
      </w:r>
    </w:p>
    <w:p>
      <w:pPr>
        <w:spacing w:after="0" w:line="276" w:lineRule="auto"/>
        <w:jc w:val="both"/>
        <w:rPr>
          <w:rFonts w:ascii="Times New Roman" w:hAnsi="Times New Roman"/>
          <w:b/>
          <w:bCs/>
          <w:sz w:val="24"/>
          <w:szCs w:val="24"/>
        </w:rPr>
      </w:pPr>
    </w:p>
    <w:p>
      <w:pPr>
        <w:spacing w:after="0" w:line="276" w:lineRule="auto"/>
        <w:jc w:val="both"/>
        <w:rPr>
          <w:rFonts w:ascii="Times New Roman" w:hAnsi="Times New Roman"/>
          <w:b/>
          <w:bCs/>
          <w:sz w:val="24"/>
          <w:szCs w:val="24"/>
        </w:rPr>
      </w:pPr>
      <w:r>
        <w:rPr>
          <w:rFonts w:ascii="Times New Roman" w:hAnsi="Times New Roman"/>
          <w:b/>
          <w:bCs/>
          <w:sz w:val="24"/>
          <w:szCs w:val="24"/>
        </w:rPr>
        <w:t>Reference of VI:</w:t>
      </w:r>
    </w:p>
    <w:p>
      <w:pPr>
        <w:widowControl w:val="0"/>
        <w:autoSpaceDE w:val="0"/>
        <w:autoSpaceDN w:val="0"/>
        <w:adjustRightInd w:val="0"/>
        <w:spacing w:after="0" w:line="276" w:lineRule="auto"/>
        <w:ind w:left="480" w:hanging="480"/>
        <w:jc w:val="both"/>
        <w:rPr>
          <w:rFonts w:ascii="Times New Roman" w:hAnsi="Times New Roman" w:eastAsia="Calibri"/>
          <w:sz w:val="24"/>
          <w:szCs w:val="24"/>
        </w:rPr>
      </w:pPr>
      <w:r>
        <w:rPr>
          <w:rFonts w:ascii="Times New Roman" w:hAnsi="Times New Roman" w:eastAsia="Calibri"/>
          <w:sz w:val="24"/>
          <w:szCs w:val="24"/>
        </w:rPr>
        <w:t>Ahmad, S., Pandey, A. C., Kumar, A., Lele, N. V., &amp; Bhattacharya, B. K. (2020). Forest health estimation in Sholayar Reserve Forest, Kerala using AVIRIS-NG hyperspectral data. Spatial Information Research, 28(1), 25–38. https://doi.org/10.1007/s41324-019-00260-6</w:t>
      </w:r>
    </w:p>
    <w:p>
      <w:pPr>
        <w:widowControl w:val="0"/>
        <w:autoSpaceDE w:val="0"/>
        <w:autoSpaceDN w:val="0"/>
        <w:adjustRightInd w:val="0"/>
        <w:spacing w:after="0" w:line="276" w:lineRule="auto"/>
        <w:ind w:left="480" w:hanging="480"/>
        <w:jc w:val="both"/>
        <w:rPr>
          <w:rFonts w:ascii="Times New Roman" w:hAnsi="Times New Roman" w:eastAsia="Calibri"/>
          <w:sz w:val="24"/>
          <w:szCs w:val="24"/>
        </w:rPr>
      </w:pPr>
      <w:r>
        <w:rPr>
          <w:rFonts w:ascii="Times New Roman" w:hAnsi="Times New Roman" w:eastAsia="Calibri"/>
          <w:sz w:val="24"/>
          <w:szCs w:val="24"/>
        </w:rPr>
        <w:t xml:space="preserve"> </w:t>
      </w:r>
    </w:p>
    <w:p>
      <w:pPr>
        <w:widowControl w:val="0"/>
        <w:autoSpaceDE w:val="0"/>
        <w:autoSpaceDN w:val="0"/>
        <w:adjustRightInd w:val="0"/>
        <w:spacing w:after="0" w:line="276" w:lineRule="auto"/>
        <w:ind w:left="480" w:hanging="480"/>
        <w:jc w:val="both"/>
        <w:rPr>
          <w:rFonts w:ascii="Times New Roman" w:hAnsi="Times New Roman" w:eastAsia="Calibri"/>
          <w:sz w:val="24"/>
          <w:szCs w:val="24"/>
        </w:rPr>
      </w:pPr>
      <w:r>
        <w:rPr>
          <w:rFonts w:ascii="Times New Roman" w:hAnsi="Times New Roman" w:eastAsia="Calibri"/>
          <w:sz w:val="24"/>
          <w:szCs w:val="24"/>
        </w:rPr>
        <w:t>Geoscience And Remote Sensing. (2008). In IEEE Transactions on Geoscience and Remote Sensing: Vol. GE-18 (Issue 1). https://doi.org/10.1109/tgrs.1980.350249</w:t>
      </w:r>
    </w:p>
    <w:p>
      <w:pPr>
        <w:widowControl w:val="0"/>
        <w:autoSpaceDE w:val="0"/>
        <w:autoSpaceDN w:val="0"/>
        <w:adjustRightInd w:val="0"/>
        <w:spacing w:after="0" w:line="276" w:lineRule="auto"/>
        <w:ind w:left="480" w:hanging="480"/>
        <w:jc w:val="both"/>
        <w:rPr>
          <w:rFonts w:ascii="Times New Roman" w:hAnsi="Times New Roman" w:eastAsia="Calibri"/>
          <w:sz w:val="24"/>
          <w:szCs w:val="24"/>
        </w:rPr>
      </w:pPr>
      <w:r>
        <w:rPr>
          <w:rFonts w:ascii="Times New Roman" w:hAnsi="Times New Roman" w:eastAsia="Calibri"/>
          <w:sz w:val="24"/>
          <w:szCs w:val="24"/>
        </w:rPr>
        <w:t>Richardson, A. J., &amp; Everitt, J. H. (1992). Using spectral vegetation indices to estimate rangeland productivity. Geocarto International, 7(1), 63–69. https://doi.org/10.1080/10106049209354353</w:t>
      </w:r>
    </w:p>
    <w:p>
      <w:pPr>
        <w:widowControl w:val="0"/>
        <w:autoSpaceDE w:val="0"/>
        <w:autoSpaceDN w:val="0"/>
        <w:adjustRightInd w:val="0"/>
        <w:spacing w:after="0" w:line="276" w:lineRule="auto"/>
        <w:ind w:left="480" w:hanging="480"/>
        <w:jc w:val="both"/>
        <w:rPr>
          <w:rFonts w:ascii="Times New Roman" w:hAnsi="Times New Roman" w:eastAsia="Calibri"/>
          <w:sz w:val="24"/>
          <w:szCs w:val="24"/>
        </w:rPr>
      </w:pPr>
      <w:r>
        <w:rPr>
          <w:rFonts w:ascii="Times New Roman" w:hAnsi="Times New Roman" w:eastAsia="Calibri"/>
          <w:sz w:val="24"/>
          <w:szCs w:val="24"/>
        </w:rPr>
        <w:t>Zarate-Valdez, J. L., Metcalf, S., Stewart, W., Ustin, S. L., &amp; Lampinen, B. (2015). Potentials and limits of vegetation indices for LAI and APAR assessment. Precision Agriculture., 16(4), 161–173. https://doi.org/10.2136/sssaj1977.03615995004100040037x</w:t>
      </w:r>
    </w:p>
    <w:p>
      <w:pPr>
        <w:spacing w:after="0" w:line="273" w:lineRule="auto"/>
        <w:jc w:val="both"/>
        <w:rPr>
          <w:rFonts w:ascii="Times-Roman" w:hAnsi="Times-Roman"/>
          <w:color w:val="000000"/>
        </w:rPr>
      </w:pPr>
      <w:r>
        <w:rPr>
          <w:rFonts w:ascii="Times-Roman" w:hAnsi="Times-Roman"/>
          <w:color w:val="000000"/>
        </w:rPr>
        <w:t xml:space="preserve"> </w:t>
      </w:r>
    </w:p>
    <w:p>
      <w:pPr>
        <w:rPr>
          <w:rFonts w:hint="default"/>
          <w:b/>
          <w:bCs/>
          <w:lang w:val="en-US"/>
        </w:rPr>
      </w:pPr>
      <w:r>
        <w:rPr>
          <w:rFonts w:hint="default"/>
          <w:b/>
          <w:bCs/>
          <w:lang w:val="en-US"/>
        </w:rPr>
        <w:t>Reference of NDVI:</w:t>
      </w:r>
    </w:p>
    <w:p>
      <w:pPr>
        <w:widowControl w:val="0"/>
        <w:autoSpaceDE w:val="0"/>
        <w:autoSpaceDN w:val="0"/>
        <w:adjustRightInd w:val="0"/>
        <w:spacing w:line="360" w:lineRule="auto"/>
        <w:ind w:left="480" w:hanging="480"/>
        <w:rPr>
          <w:rFonts w:ascii="Times New Roman" w:hAnsi="Times New Roman" w:eastAsia="Calibri"/>
          <w:sz w:val="24"/>
          <w:szCs w:val="24"/>
        </w:rPr>
      </w:pPr>
      <w:r>
        <w:rPr>
          <w:rFonts w:ascii="Times New Roman" w:hAnsi="Times New Roman" w:eastAsia="Calibri"/>
          <w:sz w:val="24"/>
          <w:szCs w:val="24"/>
        </w:rPr>
        <w:t xml:space="preserve">Geoscience And Remote Sensing. (2008). In </w:t>
      </w:r>
      <w:r>
        <w:rPr>
          <w:rFonts w:ascii="Times New Roman" w:hAnsi="Times New Roman" w:eastAsia="Calibri"/>
          <w:i/>
          <w:iCs/>
          <w:sz w:val="24"/>
          <w:szCs w:val="24"/>
        </w:rPr>
        <w:t>IEEE Transactions on Geoscience and Remote Sensing: Vol. GE-18</w:t>
      </w:r>
      <w:r>
        <w:rPr>
          <w:rFonts w:ascii="Times New Roman" w:hAnsi="Times New Roman" w:eastAsia="Calibri"/>
          <w:sz w:val="24"/>
          <w:szCs w:val="24"/>
        </w:rPr>
        <w:t xml:space="preserve"> (Issue 1). https://doi.org/10.1109/tgrs.1980.350249</w:t>
      </w:r>
    </w:p>
    <w:p>
      <w:pPr>
        <w:widowControl w:val="0"/>
        <w:autoSpaceDE w:val="0"/>
        <w:autoSpaceDN w:val="0"/>
        <w:adjustRightInd w:val="0"/>
        <w:spacing w:line="360" w:lineRule="auto"/>
        <w:ind w:left="480" w:hanging="480"/>
        <w:rPr>
          <w:rFonts w:ascii="Times New Roman" w:hAnsi="Times New Roman" w:eastAsia="Calibri"/>
          <w:sz w:val="24"/>
          <w:szCs w:val="24"/>
        </w:rPr>
      </w:pPr>
      <w:r>
        <w:rPr>
          <w:rFonts w:ascii="Times New Roman" w:hAnsi="Times New Roman" w:eastAsia="Calibri"/>
          <w:sz w:val="24"/>
          <w:szCs w:val="24"/>
        </w:rPr>
        <w:t xml:space="preserve">Wang, Z., Lyu, L., Liu, W., Liang, H., Huang, J., &amp; Zhang, Q. Bin. (2021). Topographic patterns of forest decline as detected from tree rings and NDVI. </w:t>
      </w:r>
      <w:r>
        <w:rPr>
          <w:rFonts w:ascii="Times New Roman" w:hAnsi="Times New Roman" w:eastAsia="Calibri"/>
          <w:i/>
          <w:iCs/>
          <w:sz w:val="24"/>
          <w:szCs w:val="24"/>
        </w:rPr>
        <w:t>Catena</w:t>
      </w:r>
      <w:r>
        <w:rPr>
          <w:rFonts w:ascii="Times New Roman" w:hAnsi="Times New Roman" w:eastAsia="Calibri"/>
          <w:sz w:val="24"/>
          <w:szCs w:val="24"/>
        </w:rPr>
        <w:t xml:space="preserve">, </w:t>
      </w:r>
      <w:r>
        <w:rPr>
          <w:rFonts w:ascii="Times New Roman" w:hAnsi="Times New Roman" w:eastAsia="Calibri"/>
          <w:i/>
          <w:iCs/>
          <w:sz w:val="24"/>
          <w:szCs w:val="24"/>
        </w:rPr>
        <w:t>198</w:t>
      </w:r>
      <w:r>
        <w:rPr>
          <w:rFonts w:ascii="Times New Roman" w:hAnsi="Times New Roman" w:eastAsia="Calibri"/>
          <w:sz w:val="24"/>
          <w:szCs w:val="24"/>
        </w:rPr>
        <w:t>(October), 105011. https://doi.org/10.1016/j.catena.2020.105011</w:t>
      </w:r>
    </w:p>
    <w:p>
      <w:pPr>
        <w:widowControl w:val="0"/>
        <w:autoSpaceDE w:val="0"/>
        <w:autoSpaceDN w:val="0"/>
        <w:adjustRightInd w:val="0"/>
        <w:spacing w:line="360" w:lineRule="auto"/>
        <w:ind w:left="480" w:hanging="480"/>
        <w:rPr>
          <w:rFonts w:ascii="Times New Roman" w:hAnsi="Times New Roman" w:eastAsia="Calibri"/>
          <w:sz w:val="24"/>
          <w:szCs w:val="24"/>
        </w:rPr>
      </w:pPr>
      <w:r>
        <w:rPr>
          <w:rFonts w:ascii="Times New Roman" w:hAnsi="Times New Roman" w:eastAsia="Calibri"/>
          <w:sz w:val="24"/>
          <w:szCs w:val="24"/>
        </w:rPr>
        <w:t xml:space="preserve">Zarate-Valdez, J. L., Metcalf, S., Stewart, W., Ustin, S. L., &amp; Lampinen, B. (2015). Potentials and limits of vegetation indices for LAI and APAR assessment. </w:t>
      </w:r>
      <w:r>
        <w:rPr>
          <w:rFonts w:ascii="Times New Roman" w:hAnsi="Times New Roman" w:eastAsia="Calibri"/>
          <w:i/>
          <w:iCs/>
          <w:sz w:val="24"/>
          <w:szCs w:val="24"/>
        </w:rPr>
        <w:t>Precision Agriculture.</w:t>
      </w:r>
      <w:r>
        <w:rPr>
          <w:rFonts w:ascii="Times New Roman" w:hAnsi="Times New Roman" w:eastAsia="Calibri"/>
          <w:sz w:val="24"/>
          <w:szCs w:val="24"/>
        </w:rPr>
        <w:t xml:space="preserve">, </w:t>
      </w:r>
      <w:r>
        <w:rPr>
          <w:rFonts w:ascii="Times New Roman" w:hAnsi="Times New Roman" w:eastAsia="Calibri"/>
          <w:i/>
          <w:iCs/>
          <w:sz w:val="24"/>
          <w:szCs w:val="24"/>
        </w:rPr>
        <w:t>16</w:t>
      </w:r>
      <w:r>
        <w:rPr>
          <w:rFonts w:ascii="Times New Roman" w:hAnsi="Times New Roman" w:eastAsia="Calibri"/>
          <w:sz w:val="24"/>
          <w:szCs w:val="24"/>
        </w:rPr>
        <w:t>(4), 161–173. https://doi.org/10.2136/sssaj1977.03615995004100040037x</w:t>
      </w:r>
    </w:p>
    <w:p>
      <w:pPr>
        <w:spacing w:line="360" w:lineRule="auto"/>
        <w:jc w:val="both"/>
        <w:rPr>
          <w:rFonts w:ascii="Times New Roman" w:hAnsi="Times New Roman" w:eastAsia="Calibri"/>
          <w:b/>
          <w:bCs/>
          <w:color w:val="000000"/>
          <w:sz w:val="24"/>
          <w:szCs w:val="24"/>
        </w:rPr>
      </w:pPr>
      <w:r>
        <w:rPr>
          <w:rFonts w:ascii="Times New Roman" w:hAnsi="Times New Roman" w:eastAsia="Calibri"/>
          <w:b/>
          <w:bCs/>
          <w:color w:val="000000"/>
          <w:sz w:val="24"/>
          <w:szCs w:val="24"/>
        </w:rPr>
        <w:t>Reference of EVI:</w:t>
      </w:r>
    </w:p>
    <w:p>
      <w:pPr>
        <w:spacing w:after="0" w:line="360" w:lineRule="auto"/>
        <w:jc w:val="both"/>
        <w:rPr>
          <w:rFonts w:ascii="Times New Roman" w:hAnsi="Times New Roman" w:eastAsia="Calibri"/>
          <w:sz w:val="24"/>
          <w:szCs w:val="24"/>
        </w:rPr>
      </w:pPr>
      <w:r>
        <w:rPr>
          <w:rFonts w:ascii="Times New Roman" w:hAnsi="Times New Roman"/>
          <w:color w:val="000000"/>
          <w:sz w:val="24"/>
          <w:szCs w:val="24"/>
        </w:rPr>
        <w:t>Huete, A.R.; Liu, H.; Batchily, K. &amp; van Leeuwen, W. (1997). A Comparison of Vegetation Indices Over a Global Set of TM Images for EOS-MODIS. Remote Sensing of Environment, Vol.59, 440-451</w:t>
      </w:r>
    </w:p>
    <w:p>
      <w:pPr>
        <w:widowControl w:val="0"/>
        <w:autoSpaceDE w:val="0"/>
        <w:autoSpaceDN w:val="0"/>
        <w:adjustRightInd w:val="0"/>
        <w:spacing w:line="360" w:lineRule="auto"/>
        <w:ind w:left="480" w:hanging="480"/>
        <w:jc w:val="both"/>
        <w:rPr>
          <w:rFonts w:ascii="Times New Roman" w:hAnsi="Times New Roman" w:eastAsia="Calibri"/>
          <w:sz w:val="24"/>
          <w:szCs w:val="24"/>
        </w:rPr>
      </w:pPr>
      <w:r>
        <w:rPr>
          <w:rFonts w:ascii="Times New Roman" w:hAnsi="Times New Roman" w:eastAsia="Calibri"/>
          <w:sz w:val="24"/>
          <w:szCs w:val="24"/>
        </w:rPr>
        <w:t xml:space="preserve"> Galvão, L. S., dos Santos, J. R., Roberts, D. A., Breunig, F. M., Toomey, M., &amp; de Moura, Y.M. (2011). On intra-annual EVI variability in the dry season of tropical forest: A case study with MODIS and hyperspectral data. Remote Sensing of Environment, 115(9), 2350–2359. https://doi.org/10.1016/j.rse.2011.04.035</w:t>
      </w:r>
    </w:p>
    <w:p>
      <w:pPr>
        <w:widowControl w:val="0"/>
        <w:autoSpaceDE w:val="0"/>
        <w:autoSpaceDN w:val="0"/>
        <w:adjustRightInd w:val="0"/>
        <w:spacing w:line="360" w:lineRule="auto"/>
        <w:ind w:left="480" w:hanging="480"/>
        <w:jc w:val="both"/>
        <w:rPr>
          <w:rFonts w:ascii="Times New Roman" w:hAnsi="Times New Roman" w:eastAsia="Calibri"/>
          <w:sz w:val="24"/>
          <w:szCs w:val="24"/>
        </w:rPr>
      </w:pPr>
      <w:r>
        <w:rPr>
          <w:rFonts w:ascii="Times New Roman" w:hAnsi="Times New Roman" w:eastAsia="Calibri"/>
          <w:sz w:val="24"/>
          <w:szCs w:val="24"/>
        </w:rPr>
        <w:t xml:space="preserve"> Geoscience And Remote Sensing. (2008). In IEEE Transactions on Geoscience and Remote Sensing: Vol. GE-18 (Issue 1). https://doi.org/10.1109/tgrs.1980.350249</w:t>
      </w:r>
    </w:p>
    <w:p>
      <w:pPr>
        <w:spacing w:after="0" w:line="360" w:lineRule="auto"/>
        <w:jc w:val="both"/>
        <w:rPr>
          <w:rFonts w:ascii="Times New Roman" w:hAnsi="Times New Roman" w:eastAsia="Calibri"/>
          <w:sz w:val="24"/>
          <w:szCs w:val="24"/>
        </w:rPr>
      </w:pPr>
      <w:r>
        <w:rPr>
          <w:rFonts w:ascii="Times New Roman" w:hAnsi="Times New Roman" w:eastAsia="Calibri"/>
          <w:sz w:val="24"/>
          <w:szCs w:val="24"/>
        </w:rPr>
        <w:t xml:space="preserve"> Malhi, Y., Roberts, J. T., Betts, R. A., Killeen, T. J., Li, W. H., &amp; Nobre, C. A. (2008). Climate change, deforestation, and the fate of the Amazon. Science, 319, 169–172. </w:t>
      </w:r>
    </w:p>
    <w:p>
      <w:pPr>
        <w:spacing w:after="0" w:line="360" w:lineRule="auto"/>
        <w:jc w:val="both"/>
        <w:rPr>
          <w:rFonts w:ascii="Times New Roman" w:hAnsi="Times New Roman" w:eastAsia="Calibri"/>
          <w:sz w:val="24"/>
          <w:szCs w:val="24"/>
        </w:rPr>
      </w:pPr>
      <w:r>
        <w:rPr>
          <w:rFonts w:ascii="Times New Roman" w:hAnsi="Times New Roman" w:eastAsia="Calibri"/>
          <w:sz w:val="24"/>
          <w:szCs w:val="24"/>
        </w:rPr>
        <w:t xml:space="preserve">Brando, P. M., Goetz, S. J., Baccini, A., Nepstad, D. C., Beck, P. S. A., &amp; Christman, M. C. (2010). Seasonal and interannual variability of climate and vegetation indices across the Amazon. Proceedings of the National Academy of Sciences (PNAS), 107(33), 14685–14690. </w:t>
      </w:r>
    </w:p>
    <w:p>
      <w:pPr>
        <w:widowControl w:val="0"/>
        <w:autoSpaceDE w:val="0"/>
        <w:autoSpaceDN w:val="0"/>
        <w:adjustRightInd w:val="0"/>
        <w:spacing w:line="360" w:lineRule="auto"/>
        <w:jc w:val="both"/>
        <w:rPr>
          <w:rFonts w:ascii="Times New Roman" w:hAnsi="Times New Roman" w:eastAsia="Calibri"/>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t>Reference of PVI:</w:t>
      </w:r>
    </w:p>
    <w:p>
      <w:pPr>
        <w:pStyle w:val="10"/>
        <w:numPr>
          <w:ilvl w:val="0"/>
          <w:numId w:val="2"/>
        </w:numPr>
        <w:spacing w:before="0" w:beforeAutospacing="0" w:after="0" w:line="240" w:lineRule="auto"/>
        <w:rPr>
          <w:rFonts w:ascii="Times New Roman" w:hAnsi="Times New Roman"/>
          <w:sz w:val="24"/>
          <w:szCs w:val="24"/>
        </w:rPr>
      </w:pPr>
      <w:r>
        <w:rPr>
          <w:rFonts w:ascii="Times New Roman" w:hAnsi="Times New Roman"/>
          <w:sz w:val="24"/>
          <w:szCs w:val="24"/>
        </w:rPr>
        <w:t xml:space="preserve">Elvidge, C. D., and Lyon, R. J. P. (1985), Influence of rock-soil spectral variation on assessment of green biomass, </w:t>
      </w:r>
      <w:r>
        <w:rPr>
          <w:rFonts w:ascii="Times New Roman" w:hAnsi="Times New Roman"/>
          <w:i/>
          <w:iCs/>
          <w:sz w:val="24"/>
          <w:szCs w:val="24"/>
        </w:rPr>
        <w:t xml:space="preserve">Remote Sens. Environ. </w:t>
      </w:r>
      <w:r>
        <w:rPr>
          <w:rFonts w:ascii="Times New Roman" w:hAnsi="Times New Roman"/>
          <w:sz w:val="24"/>
          <w:szCs w:val="24"/>
        </w:rPr>
        <w:t>17:265-279.</w:t>
      </w:r>
    </w:p>
    <w:p>
      <w:pPr>
        <w:widowControl w:val="0"/>
        <w:autoSpaceDE w:val="0"/>
        <w:autoSpaceDN w:val="0"/>
        <w:adjustRightInd w:val="0"/>
        <w:spacing w:before="0" w:after="0" w:line="240" w:lineRule="auto"/>
        <w:ind w:left="480" w:hanging="480"/>
        <w:rPr>
          <w:rFonts w:ascii="Times New Roman" w:hAnsi="Times New Roman"/>
          <w:sz w:val="24"/>
          <w:szCs w:val="24"/>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p>
    <w:p>
      <w:pPr>
        <w:widowControl w:val="0"/>
        <w:autoSpaceDE w:val="0"/>
        <w:autoSpaceDN w:val="0"/>
        <w:adjustRightInd w:val="0"/>
        <w:spacing w:before="0" w:after="0" w:line="240" w:lineRule="auto"/>
        <w:ind w:left="480" w:hanging="480"/>
        <w:rPr>
          <w:rFonts w:ascii="Times New Roman" w:hAnsi="Times New Roman"/>
          <w:sz w:val="24"/>
          <w:szCs w:val="24"/>
        </w:rPr>
      </w:pPr>
      <w:r>
        <w:rPr>
          <w:rFonts w:ascii="Times New Roman" w:hAnsi="Times New Roman"/>
          <w:sz w:val="24"/>
          <w:szCs w:val="24"/>
        </w:rPr>
        <w:t xml:space="preserve">Zarate-Valdez, J. L., Metcalf, S., Stewart, W., Ustin, S. L., &amp; Lampinen, B. (2015). Potentials and limits of vegetation indices for LAI and APAR assessment. </w:t>
      </w:r>
      <w:r>
        <w:rPr>
          <w:rFonts w:ascii="Times New Roman" w:hAnsi="Times New Roman"/>
          <w:i/>
          <w:iCs/>
          <w:sz w:val="24"/>
          <w:szCs w:val="24"/>
        </w:rPr>
        <w:t>Precision Agriculture.</w:t>
      </w:r>
      <w:r>
        <w:rPr>
          <w:rFonts w:ascii="Times New Roman" w:hAnsi="Times New Roman"/>
          <w:sz w:val="24"/>
          <w:szCs w:val="24"/>
        </w:rPr>
        <w:t xml:space="preserve">, </w:t>
      </w:r>
      <w:r>
        <w:rPr>
          <w:rFonts w:ascii="Times New Roman" w:hAnsi="Times New Roman"/>
          <w:i/>
          <w:iCs/>
          <w:sz w:val="24"/>
          <w:szCs w:val="24"/>
        </w:rPr>
        <w:t>16</w:t>
      </w:r>
      <w:r>
        <w:rPr>
          <w:rFonts w:ascii="Times New Roman" w:hAnsi="Times New Roman"/>
          <w:sz w:val="24"/>
          <w:szCs w:val="24"/>
        </w:rPr>
        <w:t>(4), 161–173. https://doi.org/10.2136/sssaj1977.03615995004100040037x</w:t>
      </w:r>
    </w:p>
    <w:p>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fldChar w:fldCharType="end"/>
      </w:r>
    </w:p>
    <w:p>
      <w:pPr>
        <w:spacing w:after="0" w:line="240" w:lineRule="auto"/>
        <w:rPr>
          <w:b/>
          <w:bCs/>
        </w:rPr>
      </w:pPr>
      <w:r>
        <w:rPr>
          <w:b/>
          <w:bCs/>
        </w:rPr>
        <w:t>Reference of NDBaI:</w:t>
      </w:r>
    </w:p>
    <w:p>
      <w:pPr>
        <w:widowControl w:val="0"/>
        <w:autoSpaceDE w:val="0"/>
        <w:autoSpaceDN w:val="0"/>
        <w:adjustRightInd w:val="0"/>
        <w:spacing w:before="0" w:line="360" w:lineRule="auto"/>
        <w:ind w:left="480" w:hanging="480"/>
        <w:rPr>
          <w:rFonts w:hint="default" w:ascii="Times New Roman" w:hAnsi="Times New Roman"/>
          <w:sz w:val="24"/>
          <w:szCs w:val="24"/>
          <w:lang w:val="en-US"/>
        </w:rPr>
      </w:pPr>
      <w:r>
        <w:rPr>
          <w:rFonts w:ascii="Times New Roman" w:hAnsi="Times New Roman"/>
          <w:sz w:val="24"/>
          <w:szCs w:val="24"/>
        </w:rPr>
        <w:fldChar w:fldCharType="begin" w:fldLock="1"/>
      </w:r>
      <w:r>
        <w:rPr>
          <w:rFonts w:ascii="Times New Roman" w:hAnsi="Times New Roman"/>
          <w:sz w:val="24"/>
          <w:szCs w:val="24"/>
        </w:rPr>
        <w:instrText xml:space="preserve">ADDIN Mendeley Bibliography CSL_BIBLIOGRAPHY </w:instrText>
      </w:r>
      <w:r>
        <w:rPr>
          <w:rFonts w:ascii="Times New Roman" w:hAnsi="Times New Roman"/>
          <w:sz w:val="24"/>
          <w:szCs w:val="24"/>
        </w:rPr>
        <w:fldChar w:fldCharType="separate"/>
      </w:r>
      <w:r>
        <w:rPr>
          <w:rFonts w:ascii="Times New Roman" w:hAnsi="Times New Roman"/>
          <w:sz w:val="24"/>
          <w:szCs w:val="24"/>
        </w:rPr>
        <w:t xml:space="preserve">Zhao, H., &amp; Chen, X. (2005). Use of normalized difference bareness index in quickly mapping bare areas from TM/ETM+. </w:t>
      </w:r>
      <w:r>
        <w:rPr>
          <w:rFonts w:ascii="Times New Roman" w:hAnsi="Times New Roman"/>
          <w:i/>
          <w:iCs/>
          <w:sz w:val="24"/>
          <w:szCs w:val="24"/>
        </w:rPr>
        <w:t>International Geoscience and Remote Sensing Symposium (IGARSS)</w:t>
      </w:r>
      <w:r>
        <w:rPr>
          <w:rFonts w:ascii="Times New Roman" w:hAnsi="Times New Roman"/>
          <w:sz w:val="24"/>
          <w:szCs w:val="24"/>
        </w:rPr>
        <w:t xml:space="preserve">, </w:t>
      </w:r>
      <w:r>
        <w:rPr>
          <w:rFonts w:ascii="Times New Roman" w:hAnsi="Times New Roman"/>
          <w:i/>
          <w:iCs/>
          <w:sz w:val="24"/>
          <w:szCs w:val="24"/>
        </w:rPr>
        <w:t>3</w:t>
      </w:r>
      <w:r>
        <w:rPr>
          <w:rFonts w:ascii="Times New Roman" w:hAnsi="Times New Roman"/>
          <w:sz w:val="24"/>
          <w:szCs w:val="24"/>
        </w:rPr>
        <w:t>, 1666–1668. https://doi.org/10.1109/igarss.2005.1526319</w:t>
      </w:r>
      <w:r>
        <w:rPr>
          <w:rFonts w:hint="default" w:ascii="Times New Roman" w:hAnsi="Times New Roman"/>
          <w:sz w:val="24"/>
          <w:szCs w:val="24"/>
          <w:lang w:val="en-US"/>
        </w:rPr>
        <w:t xml:space="preserve"> </w:t>
      </w:r>
    </w:p>
    <w:p>
      <w:pPr>
        <w:rPr>
          <w:rFonts w:hint="default" w:ascii="Times New Roman" w:hAnsi="Times New Roman"/>
          <w:b/>
          <w:bCs/>
          <w:sz w:val="24"/>
          <w:szCs w:val="24"/>
          <w:lang w:val="en-US"/>
        </w:rPr>
      </w:pPr>
      <w:r>
        <w:rPr>
          <w:rFonts w:hint="default" w:ascii="Times New Roman" w:hAnsi="Times New Roman"/>
          <w:b/>
          <w:bCs/>
          <w:sz w:val="24"/>
          <w:szCs w:val="24"/>
          <w:lang w:val="en-US"/>
        </w:rPr>
        <w:t>Reference of NDBaI:</w:t>
      </w:r>
    </w:p>
    <w:p>
      <w:pPr>
        <w:widowControl w:val="0"/>
        <w:autoSpaceDE w:val="0"/>
        <w:autoSpaceDN w:val="0"/>
        <w:adjustRightInd w:val="0"/>
        <w:spacing w:before="0" w:line="360" w:lineRule="auto"/>
        <w:ind w:left="480" w:hanging="480"/>
        <w:rPr>
          <w:rFonts w:ascii="Times New Roman" w:hAnsi="Times New Roman"/>
          <w:sz w:val="24"/>
          <w:szCs w:val="24"/>
        </w:rPr>
      </w:pPr>
      <w:r>
        <w:rPr>
          <w:rFonts w:ascii="Times New Roman" w:hAnsi="Times New Roman"/>
          <w:sz w:val="24"/>
          <w:szCs w:val="24"/>
        </w:rPr>
        <w:fldChar w:fldCharType="end"/>
      </w:r>
      <w:r>
        <w:rPr>
          <w:rFonts w:ascii="Times New Roman" w:hAnsi="Times New Roman"/>
          <w:sz w:val="24"/>
          <w:szCs w:val="24"/>
        </w:rPr>
        <w:t xml:space="preserve">Geoscience And Remote Sensing. (2008). In </w:t>
      </w:r>
      <w:r>
        <w:rPr>
          <w:rFonts w:ascii="Times New Roman" w:hAnsi="Times New Roman"/>
          <w:i/>
          <w:iCs/>
          <w:sz w:val="24"/>
          <w:szCs w:val="24"/>
        </w:rPr>
        <w:t>IEEE Transactions on Geoscience and Remote Sensing: Vol. GE-18</w:t>
      </w:r>
      <w:r>
        <w:rPr>
          <w:rFonts w:ascii="Times New Roman" w:hAnsi="Times New Roman"/>
          <w:sz w:val="24"/>
          <w:szCs w:val="24"/>
        </w:rPr>
        <w:t xml:space="preserve"> (Issue 1). https://doi.org/10.1109/tgrs.1980.350249</w:t>
      </w:r>
    </w:p>
    <w:p>
      <w:pPr>
        <w:widowControl w:val="0"/>
        <w:autoSpaceDE w:val="0"/>
        <w:autoSpaceDN w:val="0"/>
        <w:adjustRightInd w:val="0"/>
        <w:spacing w:before="0" w:line="360" w:lineRule="auto"/>
        <w:ind w:left="480" w:hanging="480"/>
        <w:rPr>
          <w:rFonts w:ascii="Times New Roman" w:hAnsi="Times New Roman"/>
          <w:sz w:val="24"/>
          <w:szCs w:val="24"/>
        </w:rPr>
      </w:pPr>
      <w:r>
        <w:rPr>
          <w:rFonts w:ascii="Times New Roman" w:hAnsi="Times New Roman"/>
          <w:sz w:val="24"/>
          <w:szCs w:val="24"/>
        </w:rPr>
        <w:t xml:space="preserve">Nedkov, R. (2017). Normalized differential greenness index for vegetation dynamics assessment. </w:t>
      </w:r>
      <w:r>
        <w:rPr>
          <w:rFonts w:ascii="Times New Roman" w:hAnsi="Times New Roman"/>
          <w:i/>
          <w:iCs/>
          <w:sz w:val="24"/>
          <w:szCs w:val="24"/>
        </w:rPr>
        <w:t>Comptes Rendus de L’Academie Bulgare Des Sciences</w:t>
      </w:r>
      <w:r>
        <w:rPr>
          <w:rFonts w:ascii="Times New Roman" w:hAnsi="Times New Roman"/>
          <w:sz w:val="24"/>
          <w:szCs w:val="24"/>
        </w:rPr>
        <w:t xml:space="preserve">, </w:t>
      </w:r>
      <w:r>
        <w:rPr>
          <w:rFonts w:ascii="Times New Roman" w:hAnsi="Times New Roman"/>
          <w:i/>
          <w:iCs/>
          <w:sz w:val="24"/>
          <w:szCs w:val="24"/>
        </w:rPr>
        <w:t>70</w:t>
      </w:r>
      <w:r>
        <w:rPr>
          <w:rFonts w:ascii="Times New Roman" w:hAnsi="Times New Roman"/>
          <w:sz w:val="24"/>
          <w:szCs w:val="24"/>
        </w:rPr>
        <w:t>(8), 1143–1146.</w:t>
      </w:r>
    </w:p>
    <w:p>
      <w:pPr>
        <w:widowControl w:val="0"/>
        <w:autoSpaceDE w:val="0"/>
        <w:autoSpaceDN w:val="0"/>
        <w:adjustRightInd w:val="0"/>
        <w:spacing w:before="0" w:line="360" w:lineRule="auto"/>
        <w:rPr>
          <w:rFonts w:ascii="CharisSIL" w:hAnsi="CharisSIL"/>
          <w:color w:val="000000"/>
          <w:sz w:val="14"/>
          <w:szCs w:val="14"/>
        </w:rPr>
      </w:pPr>
    </w:p>
    <w:p>
      <w:pPr>
        <w:widowControl w:val="0"/>
        <w:autoSpaceDE w:val="0"/>
        <w:autoSpaceDN w:val="0"/>
        <w:adjustRightInd w:val="0"/>
        <w:spacing w:line="360" w:lineRule="auto"/>
        <w:jc w:val="both"/>
        <w:rPr>
          <w:rFonts w:ascii="Times New Roman" w:hAnsi="Times New Roman"/>
          <w:sz w:val="24"/>
          <w:szCs w:val="24"/>
        </w:rPr>
      </w:pP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BgqpgjAdvTT3713a231">
    <w:altName w:val="Calibri"/>
    <w:panose1 w:val="00000000000000000000"/>
    <w:charset w:val="00"/>
    <w:family w:val="auto"/>
    <w:pitch w:val="default"/>
    <w:sig w:usb0="00000000" w:usb1="00000000" w:usb2="00000000" w:usb3="00000000" w:csb0="00000000" w:csb1="00000000"/>
  </w:font>
  <w:font w:name="MnnncpAdvTT50a2f13e.I">
    <w:altName w:val="Calibri"/>
    <w:panose1 w:val="00000000000000000000"/>
    <w:charset w:val="00"/>
    <w:family w:val="auto"/>
    <w:pitch w:val="default"/>
    <w:sig w:usb0="00000000" w:usb1="00000000" w:usb2="00000000" w:usb3="00000000" w:csb0="00000000" w:csb1="00000000"/>
  </w:font>
  <w:font w:name="YjjxcyAdvTT3713a231+20">
    <w:altName w:val="Calibri"/>
    <w:panose1 w:val="00000000000000000000"/>
    <w:charset w:val="00"/>
    <w:family w:val="auto"/>
    <w:pitch w:val="default"/>
    <w:sig w:usb0="00000000" w:usb1="00000000" w:usb2="00000000" w:usb3="00000000" w:csb0="00000000" w:csb1="00000000"/>
  </w:font>
  <w:font w:name="CharisSIL">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TIX">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MS Mincho">
    <w:altName w:val="ESRI AMFM Electric"/>
    <w:panose1 w:val="00000000000000000000"/>
    <w:charset w:val="00"/>
    <w:family w:val="auto"/>
    <w:pitch w:val="default"/>
    <w:sig w:usb0="00000000" w:usb1="00000000" w:usb2="00000000" w:usb3="00000000" w:csb0="00000000" w:csb1="00000000"/>
  </w:font>
  <w:font w:name="Rosewood Std Regular">
    <w:panose1 w:val="04090804040204020202"/>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IE AMFM Sewer">
    <w:panose1 w:val="02000509000000020004"/>
    <w:charset w:val="00"/>
    <w:family w:val="auto"/>
    <w:pitch w:val="default"/>
    <w:sig w:usb0="00000003" w:usb1="00000000" w:usb2="00000000" w:usb3="00000000" w:csb0="00000001" w:csb1="00000000"/>
  </w:font>
  <w:font w:name="PIE Business">
    <w:panose1 w:val="02000000000000000000"/>
    <w:charset w:val="00"/>
    <w:family w:val="auto"/>
    <w:pitch w:val="default"/>
    <w:sig w:usb0="00000003" w:usb1="00000000" w:usb2="00000000" w:usb3="00000000" w:csb0="00000001" w:csb1="00000000"/>
  </w:font>
  <w:font w:name="PIE Caves 1">
    <w:panose1 w:val="02000000000000000000"/>
    <w:charset w:val="00"/>
    <w:family w:val="auto"/>
    <w:pitch w:val="default"/>
    <w:sig w:usb0="00000003" w:usb1="00000000" w:usb2="00000000" w:usb3="00000000" w:csb0="00000001" w:csb1="00000000"/>
  </w:font>
  <w:font w:name="PIE Caves 3">
    <w:panose1 w:val="02000400000000000000"/>
    <w:charset w:val="00"/>
    <w:family w:val="auto"/>
    <w:pitch w:val="default"/>
    <w:sig w:usb0="00000003" w:usb1="00000000" w:usb2="00000000" w:usb3="00000000" w:csb0="00000001" w:csb1="00000000"/>
  </w:font>
  <w:font w:name="PIE Climate  Precipitation">
    <w:panose1 w:val="02000000000000000000"/>
    <w:charset w:val="00"/>
    <w:family w:val="auto"/>
    <w:pitch w:val="default"/>
    <w:sig w:usb0="00000003" w:usb1="00000000" w:usb2="00000000" w:usb3="00000000" w:csb0="00000001" w:csb1="00000000"/>
  </w:font>
  <w:font w:name="PIE Crime Analysis">
    <w:panose1 w:val="02000400000000000000"/>
    <w:charset w:val="00"/>
    <w:family w:val="auto"/>
    <w:pitch w:val="default"/>
    <w:sig w:usb0="00000003" w:usb1="00000000" w:usb2="00000000" w:usb3="00000000" w:csb0="00000001" w:csb1="00000000"/>
  </w:font>
  <w:font w:name="PIE Enviro Hazard Analysis">
    <w:panose1 w:val="02000400000000000000"/>
    <w:charset w:val="00"/>
    <w:family w:val="auto"/>
    <w:pitch w:val="default"/>
    <w:sig w:usb0="00000003" w:usb1="00000000" w:usb2="00000000" w:usb3="00000000" w:csb0="00000001" w:csb1="00000000"/>
  </w:font>
  <w:font w:name="PIE ERS Operations S1">
    <w:panose1 w:val="02000000000000000000"/>
    <w:charset w:val="00"/>
    <w:family w:val="auto"/>
    <w:pitch w:val="default"/>
    <w:sig w:usb0="00000003" w:usb1="00000000" w:usb2="00000000" w:usb3="00000000" w:csb0="00000001" w:csb1="00000000"/>
  </w:font>
  <w:font w:name="PIE IGL Font23">
    <w:panose1 w:val="02000000000000000000"/>
    <w:charset w:val="00"/>
    <w:family w:val="auto"/>
    <w:pitch w:val="default"/>
    <w:sig w:usb0="00000003" w:usb1="00000000" w:usb2="00000000" w:usb3="00000000" w:csb0="00000001" w:csb1="00000000"/>
  </w:font>
  <w:font w:name="PIE North">
    <w:panose1 w:val="02000508000000020003"/>
    <w:charset w:val="00"/>
    <w:family w:val="auto"/>
    <w:pitch w:val="default"/>
    <w:sig w:usb0="00000003" w:usb1="00000000" w:usb2="00000000" w:usb3="00000000" w:csb0="00000001" w:csb1="00000000"/>
  </w:font>
  <w:font w:name="PIE SDS 2.00 1">
    <w:panose1 w:val="02000000000000000000"/>
    <w:charset w:val="00"/>
    <w:family w:val="auto"/>
    <w:pitch w:val="default"/>
    <w:sig w:usb0="00000003" w:usb1="0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tencil Std">
    <w:panose1 w:val="04020904080802020404"/>
    <w:charset w:val="00"/>
    <w:family w:val="auto"/>
    <w:pitch w:val="default"/>
    <w:sig w:usb0="00000003" w:usb1="00000000" w:usb2="00000000" w:usb3="00000000" w:csb0="20000001" w:csb1="00000000"/>
  </w:font>
  <w:font w:name="Tekton Pro">
    <w:panose1 w:val="020F0603020208020904"/>
    <w:charset w:val="00"/>
    <w:family w:val="auto"/>
    <w:pitch w:val="default"/>
    <w:sig w:usb0="00000007" w:usb1="00000001" w:usb2="00000000" w:usb3="00000000" w:csb0="20000093" w:csb1="00000000"/>
  </w:font>
  <w:font w:name="Trajan Pro">
    <w:panose1 w:val="02020502050506020301"/>
    <w:charset w:val="00"/>
    <w:family w:val="auto"/>
    <w:pitch w:val="default"/>
    <w:sig w:usb0="00000007" w:usb1="00000000"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Brush Script Std">
    <w:panose1 w:val="03060802040607070404"/>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Italic3">
    <w:altName w:val="ESRI AMFM Electric"/>
    <w:panose1 w:val="00000000000000000000"/>
    <w:charset w:val="00"/>
    <w:family w:val="auto"/>
    <w:pitch w:val="default"/>
    <w:sig w:usb0="00000000" w:usb1="00000000" w:usb2="00000000" w:usb3="00000000" w:csb0="00000000" w:csb1="00000000"/>
  </w:font>
  <w:font w:name="MTMI2">
    <w:altName w:val="ESRI AMFM Electric"/>
    <w:panose1 w:val="00000000000000000000"/>
    <w:charset w:val="00"/>
    <w:family w:val="auto"/>
    <w:pitch w:val="default"/>
    <w:sig w:usb0="00000000" w:usb1="00000000" w:usb2="00000000" w:usb3="00000000" w:csb0="00000000" w:csb1="00000000"/>
  </w:font>
  <w:font w:name="MTSYN3">
    <w:altName w:val="ESRI AMFM Electric"/>
    <w:panose1 w:val="00000000000000000000"/>
    <w:charset w:val="00"/>
    <w:family w:val="auto"/>
    <w:pitch w:val="default"/>
    <w:sig w:usb0="00000000" w:usb1="00000000" w:usb2="00000000" w:usb3="00000000" w:csb0="00000000" w:csb1="00000000"/>
  </w:font>
  <w:font w:name="Times-Roman3">
    <w:altName w:val="ESRI AMFM Electric"/>
    <w:panose1 w:val="00000000000000000000"/>
    <w:charset w:val="00"/>
    <w:family w:val="auto"/>
    <w:pitch w:val="default"/>
    <w:sig w:usb0="00000000" w:usb1="00000000" w:usb2="00000000" w:usb3="00000000" w:csb0="00000000" w:csb1="00000000"/>
  </w:font>
  <w:font w:name="Rockwell Extra Bold">
    <w:panose1 w:val="02060903040505020403"/>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imes-Roman9">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F3634"/>
    <w:multiLevelType w:val="multilevel"/>
    <w:tmpl w:val="184F3634"/>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F9355F"/>
    <w:multiLevelType w:val="multilevel"/>
    <w:tmpl w:val="5BF935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6C"/>
    <w:rsid w:val="000242B0"/>
    <w:rsid w:val="00060814"/>
    <w:rsid w:val="000C01BE"/>
    <w:rsid w:val="000D01A4"/>
    <w:rsid w:val="000F461A"/>
    <w:rsid w:val="00214371"/>
    <w:rsid w:val="00237516"/>
    <w:rsid w:val="002B6532"/>
    <w:rsid w:val="002F1C6C"/>
    <w:rsid w:val="00383480"/>
    <w:rsid w:val="003D5B79"/>
    <w:rsid w:val="003F03CE"/>
    <w:rsid w:val="00435965"/>
    <w:rsid w:val="00524375"/>
    <w:rsid w:val="007B146F"/>
    <w:rsid w:val="00916B1F"/>
    <w:rsid w:val="00996D30"/>
    <w:rsid w:val="00A128BE"/>
    <w:rsid w:val="00B5508F"/>
    <w:rsid w:val="00C93005"/>
    <w:rsid w:val="00DE292B"/>
    <w:rsid w:val="00E31448"/>
    <w:rsid w:val="00ED2129"/>
    <w:rsid w:val="00ED2C48"/>
    <w:rsid w:val="00FD7471"/>
    <w:rsid w:val="13D73D1B"/>
    <w:rsid w:val="2D267739"/>
    <w:rsid w:val="2F9F49B4"/>
    <w:rsid w:val="3CE416CB"/>
    <w:rsid w:val="3D486584"/>
    <w:rsid w:val="40943D56"/>
    <w:rsid w:val="59C204A9"/>
    <w:rsid w:val="6B9C6C98"/>
    <w:rsid w:val="6DF50CF3"/>
    <w:rsid w:val="70775213"/>
    <w:rsid w:val="7C69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uiPriority w:val="99"/>
    <w:rPr>
      <w:color w:val="605E5C"/>
      <w:shd w:val="clear" w:color="auto" w:fill="E1DFDD"/>
    </w:rPr>
  </w:style>
  <w:style w:type="character" w:customStyle="1" w:styleId="12">
    <w:name w:val="15"/>
    <w:basedOn w:val="2"/>
    <w:qFormat/>
    <w:uiPriority w:val="0"/>
    <w:rPr>
      <w:rFonts w:hint="default" w:ascii="Calibri" w:hAnsi="Calibri" w:cs="Calibri"/>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6930</Words>
  <Characters>39501</Characters>
  <Lines>329</Lines>
  <Paragraphs>92</Paragraphs>
  <TotalTime>153</TotalTime>
  <ScaleCrop>false</ScaleCrop>
  <LinksUpToDate>false</LinksUpToDate>
  <CharactersWithSpaces>46339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2022-02-19T06:09:00Z</dcterms:created>
  <dc:creator>Shahadat Shuchon</dc:creator>
  <cp:lastModifiedBy>Acwer</cp:lastModifiedBy>
  <dcterms:modified xsi:type="dcterms:W3CDTF">2022-02-24T19:49:39Z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3B2F0E466F5345539E71BE7960530AEC</vt:lpwstr>
  </property>
</Properties>
</file>