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56"/>
          <w:szCs w:val="56"/>
        </w:rPr>
        <w:t xml:space="preserve">Executive Report</w:t>
      </w:r>
    </w:p>
    <w:p>
      <w:pPr>
        <w:spacing w:after="40"/>
      </w:pPr>
      <w:r>
        <w:rPr>
          <w:color w:val="595959"/>
          <w:sz w:val="28"/>
          <w:szCs w:val="28"/>
        </w:rPr>
        <w:t xml:space="preserve">AI Voice Agent for Overseas Pakistani Real Estate Investment</w:t>
      </w:r>
    </w:p>
    <w:p>
      <w:pPr>
        <w:spacing w:after="400"/>
      </w:pPr>
      <w:r>
        <w:rPr>
          <w:i/>
          <w:iCs/>
          <w:color w:val="595959"/>
          <w:sz w:val="22"/>
          <w:szCs w:val="22"/>
        </w:rPr>
        <w:t xml:space="preserve">Week 4 Capstone Project — "NRP Line"</w:t>
      </w:r>
    </w:p>
    <w:p>
      <w:pPr>
        <w:pStyle w:val="Heading1"/>
        <w:spacing w:after="160" w:before="320"/>
      </w:pPr>
      <w:r>
        <w:t xml:space="preserve">1. Executive Summary</w:t>
      </w:r>
    </w:p>
    <w:p>
      <w:pPr>
        <w:spacing w:after="160"/>
      </w:pPr>
      <w:r>
        <w:t xml:space="preserve">This project delivers an AI voice agent purpose-built for a specific, high-value segment of the real estate market: Non-Resident Pakistanis (NRPs) in the UK, US, and Gulf who want to invest in Pakistani real estate without traveling. Rather than a generic property chatbot, the agent converses in fluent UrduLish, answers questions grounded in verified company data, recommends properties by budget and investment goals, handles the specific objections overseas buyers raise (trust, distance, currency), and books timezone-aware video walkthrough calls directly onto the company's Google Calendar with automatic relationship-manager notification.</w:t>
      </w:r>
    </w:p>
    <w:p>
      <w:pPr>
        <w:spacing w:after="160"/>
      </w:pPr>
      <w:r>
        <w:t xml:space="preserve">The system is delivered as a runnable Jupyter notebook (development/evaluation environment), a FastAPI service skeleton (deployment path), and an n8n workflow (business-process automation), together with the documentation, evaluation results, and roadmap in this report.</w:t>
      </w:r>
    </w:p>
    <w:p>
      <w:pPr>
        <w:pStyle w:val="Heading1"/>
        <w:spacing w:after="160" w:before="320"/>
      </w:pPr>
      <w:r>
        <w:t xml:space="preserve">2. Objectives</w:t>
      </w:r>
    </w:p>
    <w:p>
      <w:pPr>
        <w:pStyle w:val="ListParagraph"/>
        <w:numPr>
          <w:ilvl w:val="0"/>
          <w:numId w:val="1"/>
        </w:numPr>
        <w:spacing w:after="80"/>
      </w:pPr>
      <w:r>
        <w:t xml:space="preserve">Answer incoming inquiries and hold a natural, human-like UrduLish conversation</w:t>
      </w:r>
    </w:p>
    <w:p>
      <w:pPr>
        <w:pStyle w:val="ListParagraph"/>
        <w:numPr>
          <w:ilvl w:val="0"/>
          <w:numId w:val="1"/>
        </w:numPr>
        <w:spacing w:after="80"/>
      </w:pPr>
      <w:r>
        <w:t xml:space="preserve">Ground every factual claim (price, availability, possession date) in verified company data — never hallucinate</w:t>
      </w:r>
    </w:p>
    <w:p>
      <w:pPr>
        <w:pStyle w:val="ListParagraph"/>
        <w:numPr>
          <w:ilvl w:val="0"/>
          <w:numId w:val="1"/>
        </w:numPr>
        <w:spacing w:after="80"/>
      </w:pPr>
      <w:r>
        <w:t xml:space="preserve">Recommend properties matched to budget, city, purpose (own-use vs. investment), and bedrooms</w:t>
      </w:r>
    </w:p>
    <w:p>
      <w:pPr>
        <w:pStyle w:val="ListParagraph"/>
        <w:numPr>
          <w:ilvl w:val="0"/>
          <w:numId w:val="1"/>
        </w:numPr>
        <w:spacing w:after="80"/>
      </w:pPr>
      <w:r>
        <w:t xml:space="preserve">Handle NRP-specific objections: trust/scam concerns, physical distance, currency and repatriation questions</w:t>
      </w:r>
    </w:p>
    <w:p>
      <w:pPr>
        <w:pStyle w:val="ListParagraph"/>
        <w:numPr>
          <w:ilvl w:val="0"/>
          <w:numId w:val="1"/>
        </w:numPr>
        <w:spacing w:after="80"/>
      </w:pPr>
      <w:r>
        <w:t xml:space="preserve">Book, reschedule, and cancel video walkthrough appointments with Google Calendar + Gmail integration</w:t>
      </w:r>
    </w:p>
    <w:p>
      <w:pPr>
        <w:pStyle w:val="ListParagraph"/>
        <w:numPr>
          <w:ilvl w:val="0"/>
          <w:numId w:val="1"/>
        </w:numPr>
        <w:spacing w:after="80"/>
      </w:pPr>
      <w:r>
        <w:t xml:space="preserve">Log every call, extracted client profile, and appointment to a CRM-ready data store</w:t>
      </w:r>
    </w:p>
    <w:p>
      <w:pPr>
        <w:pStyle w:val="ListParagraph"/>
        <w:numPr>
          <w:ilvl w:val="0"/>
          <w:numId w:val="1"/>
        </w:numPr>
        <w:spacing w:after="80"/>
      </w:pPr>
      <w:r>
        <w:t xml:space="preserve">Hold guardrails against prompt injection and out-of-scope requests</w:t>
      </w:r>
    </w:p>
    <w:p>
      <w:pPr>
        <w:pStyle w:val="Heading1"/>
        <w:spacing w:after="160" w:before="320"/>
      </w:pPr>
      <w:r>
        <w:t xml:space="preserve">3. System Architecture</w:t>
      </w:r>
    </w:p>
    <w:p>
      <w:pPr>
        <w:spacing w:after="160"/>
      </w:pPr>
      <w:r>
        <w:t xml:space="preserve">Full architecture and per-scenario conversation flow diagrams are in docs/ARCHITECTURE_AND_FLOWS.md (Mermaid diagrams). In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1F3864" w:val="clear"/>
          </w:tcPr>
          <w:p>
            <w:r>
              <w:rPr>
                <w:b/>
                <w:bCs/>
                <w:color w:val="FFFFFF"/>
                <w:sz w:val="20"/>
                <w:szCs w:val="20"/>
              </w:rPr>
              <w:t xml:space="preserve">Layer</w:t>
            </w:r>
          </w:p>
        </w:tc>
        <w:tc>
          <w:tcPr>
            <w:tcW w:type="dxa" w:w="2800"/>
            <w:shd w:fill="1F3864" w:val="clear"/>
          </w:tcPr>
          <w:p>
            <w:r>
              <w:rPr>
                <w:b/>
                <w:bCs/>
                <w:color w:val="FFFFFF"/>
                <w:sz w:val="20"/>
                <w:szCs w:val="20"/>
              </w:rPr>
              <w:t xml:space="preserve">Component</w:t>
            </w:r>
          </w:p>
        </w:tc>
        <w:tc>
          <w:tcPr>
            <w:tcW w:type="dxa" w:w="4750"/>
            <w:shd w:fill="1F3864" w:val="clear"/>
          </w:tcPr>
          <w:p>
            <w:r>
              <w:rPr>
                <w:b/>
                <w:bCs/>
                <w:color w:val="FFFFFF"/>
                <w:sz w:val="20"/>
                <w:szCs w:val="20"/>
              </w:rPr>
              <w:t xml:space="preserve">Choice in this build</w:t>
            </w:r>
          </w:p>
        </w:tc>
      </w:tr>
      <w:tr>
        <w:tc>
          <w:tcPr>
            <w:tcW w:type="dxa" w:w="1800"/>
          </w:tcPr>
          <w:p>
            <w:r>
              <w:rPr>
                <w:b w:val="false"/>
                <w:bCs w:val="false"/>
                <w:color w:val="000000"/>
                <w:sz w:val="20"/>
                <w:szCs w:val="20"/>
              </w:rPr>
              <w:t xml:space="preserve">LLM</w:t>
            </w:r>
          </w:p>
        </w:tc>
        <w:tc>
          <w:tcPr>
            <w:tcW w:type="dxa" w:w="2800"/>
          </w:tcPr>
          <w:p>
            <w:r>
              <w:rPr>
                <w:b w:val="false"/>
                <w:bCs w:val="false"/>
                <w:color w:val="000000"/>
                <w:sz w:val="20"/>
                <w:szCs w:val="20"/>
              </w:rPr>
              <w:t xml:space="preserve">Conversation + reasoning</w:t>
            </w:r>
          </w:p>
        </w:tc>
        <w:tc>
          <w:tcPr>
            <w:tcW w:type="dxa" w:w="4750"/>
          </w:tcPr>
          <w:p>
            <w:r>
              <w:rPr>
                <w:b w:val="false"/>
                <w:bCs w:val="false"/>
                <w:color w:val="000000"/>
                <w:sz w:val="20"/>
                <w:szCs w:val="20"/>
              </w:rPr>
              <w:t xml:space="preserve">Google Gemini (gemini-3.8-flash), via the current google-genai SDK, with multi-API-key rotation for rate-limit resilience</w:t>
            </w:r>
          </w:p>
        </w:tc>
      </w:tr>
      <w:tr>
        <w:tc>
          <w:tcPr>
            <w:tcW w:type="dxa" w:w="1800"/>
          </w:tcPr>
          <w:p>
            <w:r>
              <w:rPr>
                <w:b w:val="false"/>
                <w:bCs w:val="false"/>
                <w:color w:val="000000"/>
                <w:sz w:val="20"/>
                <w:szCs w:val="20"/>
              </w:rPr>
              <w:t xml:space="preserve">Knowledge</w:t>
            </w:r>
          </w:p>
        </w:tc>
        <w:tc>
          <w:tcPr>
            <w:tcW w:type="dxa" w:w="2800"/>
          </w:tcPr>
          <w:p>
            <w:r>
              <w:rPr>
                <w:b w:val="false"/>
                <w:bCs w:val="false"/>
                <w:color w:val="000000"/>
                <w:sz w:val="20"/>
                <w:szCs w:val="20"/>
              </w:rPr>
              <w:t xml:space="preserve">Semantic retrieval</w:t>
            </w:r>
          </w:p>
        </w:tc>
        <w:tc>
          <w:tcPr>
            <w:tcW w:type="dxa" w:w="4750"/>
          </w:tcPr>
          <w:p>
            <w:r>
              <w:rPr>
                <w:b w:val="false"/>
                <w:bCs w:val="false"/>
                <w:color w:val="000000"/>
                <w:sz w:val="20"/>
                <w:szCs w:val="20"/>
              </w:rPr>
              <w:t xml:space="preserve">In-memory NumPy cosine similarity over Gemini embeddings (deliberately not a native vector DB — see Section 6)</w:t>
            </w:r>
          </w:p>
        </w:tc>
      </w:tr>
      <w:tr>
        <w:tc>
          <w:tcPr>
            <w:tcW w:type="dxa" w:w="1800"/>
          </w:tcPr>
          <w:p>
            <w:r>
              <w:rPr>
                <w:b w:val="false"/>
                <w:bCs w:val="false"/>
                <w:color w:val="000000"/>
                <w:sz w:val="20"/>
                <w:szCs w:val="20"/>
              </w:rPr>
              <w:t xml:space="preserve">Knowledge</w:t>
            </w:r>
          </w:p>
        </w:tc>
        <w:tc>
          <w:tcPr>
            <w:tcW w:type="dxa" w:w="2800"/>
          </w:tcPr>
          <w:p>
            <w:r>
              <w:rPr>
                <w:b w:val="false"/>
                <w:bCs w:val="false"/>
                <w:color w:val="000000"/>
                <w:sz w:val="20"/>
                <w:szCs w:val="20"/>
              </w:rPr>
              <w:t xml:space="preserve">Structured facts</w:t>
            </w:r>
          </w:p>
        </w:tc>
        <w:tc>
          <w:tcPr>
            <w:tcW w:type="dxa" w:w="4750"/>
          </w:tcPr>
          <w:p>
            <w:r>
              <w:rPr>
                <w:b w:val="false"/>
                <w:bCs w:val="false"/>
                <w:color w:val="000000"/>
                <w:sz w:val="20"/>
                <w:szCs w:val="20"/>
              </w:rPr>
              <w:t xml:space="preserve">SQLite (price, availability, RDA eligibility, possession date)</w:t>
            </w:r>
          </w:p>
        </w:tc>
      </w:tr>
      <w:tr>
        <w:tc>
          <w:tcPr>
            <w:tcW w:type="dxa" w:w="1800"/>
          </w:tcPr>
          <w:p>
            <w:r>
              <w:rPr>
                <w:b w:val="false"/>
                <w:bCs w:val="false"/>
                <w:color w:val="000000"/>
                <w:sz w:val="20"/>
                <w:szCs w:val="20"/>
              </w:rPr>
              <w:t xml:space="preserve">Orchestration</w:t>
            </w:r>
          </w:p>
        </w:tc>
        <w:tc>
          <w:tcPr>
            <w:tcW w:type="dxa" w:w="2800"/>
          </w:tcPr>
          <w:p>
            <w:r>
              <w:rPr>
                <w:b w:val="false"/>
                <w:bCs w:val="false"/>
                <w:color w:val="000000"/>
                <w:sz w:val="20"/>
                <w:szCs w:val="20"/>
              </w:rPr>
              <w:t xml:space="preserve">Agent framework</w:t>
            </w:r>
          </w:p>
        </w:tc>
        <w:tc>
          <w:tcPr>
            <w:tcW w:type="dxa" w:w="4750"/>
          </w:tcPr>
          <w:p>
            <w:r>
              <w:rPr>
                <w:b w:val="false"/>
                <w:bCs w:val="false"/>
                <w:color w:val="000000"/>
                <w:sz w:val="20"/>
                <w:szCs w:val="20"/>
              </w:rPr>
              <w:t xml:space="preserve">LangGraph — state machine with intent detection, RAG/recommend/book/reschedule/cancel/objection nodes, and logged execution traces</w:t>
            </w:r>
          </w:p>
        </w:tc>
      </w:tr>
      <w:tr>
        <w:tc>
          <w:tcPr>
            <w:tcW w:type="dxa" w:w="1800"/>
          </w:tcPr>
          <w:p>
            <w:r>
              <w:rPr>
                <w:b w:val="false"/>
                <w:bCs w:val="false"/>
                <w:color w:val="000000"/>
                <w:sz w:val="20"/>
                <w:szCs w:val="20"/>
              </w:rPr>
              <w:t xml:space="preserve">Voice</w:t>
            </w:r>
          </w:p>
        </w:tc>
        <w:tc>
          <w:tcPr>
            <w:tcW w:type="dxa" w:w="2800"/>
          </w:tcPr>
          <w:p>
            <w:r>
              <w:rPr>
                <w:b w:val="false"/>
                <w:bCs w:val="false"/>
                <w:color w:val="000000"/>
                <w:sz w:val="20"/>
                <w:szCs w:val="20"/>
              </w:rPr>
              <w:t xml:space="preserve">TTS / STT</w:t>
            </w:r>
          </w:p>
        </w:tc>
        <w:tc>
          <w:tcPr>
            <w:tcW w:type="dxa" w:w="4750"/>
          </w:tcPr>
          <w:p>
            <w:r>
              <w:rPr>
                <w:b w:val="false"/>
                <w:bCs w:val="false"/>
                <w:color w:val="000000"/>
                <w:sz w:val="20"/>
                <w:szCs w:val="20"/>
              </w:rPr>
              <w:t xml:space="preserve">gTTS / SpeechRecognition for this simulated build; Fish Audio recommended for production (Section 7)</w:t>
            </w:r>
          </w:p>
        </w:tc>
      </w:tr>
      <w:tr>
        <w:tc>
          <w:tcPr>
            <w:tcW w:type="dxa" w:w="1800"/>
          </w:tcPr>
          <w:p>
            <w:r>
              <w:rPr>
                <w:b w:val="false"/>
                <w:bCs w:val="false"/>
                <w:color w:val="000000"/>
                <w:sz w:val="20"/>
                <w:szCs w:val="20"/>
              </w:rPr>
              <w:t xml:space="preserve">Workflow</w:t>
            </w:r>
          </w:p>
        </w:tc>
        <w:tc>
          <w:tcPr>
            <w:tcW w:type="dxa" w:w="2800"/>
          </w:tcPr>
          <w:p>
            <w:r>
              <w:rPr>
                <w:b w:val="false"/>
                <w:bCs w:val="false"/>
                <w:color w:val="000000"/>
                <w:sz w:val="20"/>
                <w:szCs w:val="20"/>
              </w:rPr>
              <w:t xml:space="preserve">Calendar &amp; email</w:t>
            </w:r>
          </w:p>
        </w:tc>
        <w:tc>
          <w:tcPr>
            <w:tcW w:type="dxa" w:w="4750"/>
          </w:tcPr>
          <w:p>
            <w:r>
              <w:rPr>
                <w:b w:val="false"/>
                <w:bCs w:val="false"/>
                <w:color w:val="000000"/>
                <w:sz w:val="20"/>
                <w:szCs w:val="20"/>
              </w:rPr>
              <w:t xml:space="preserve">Google Calendar API + Gmail API (booking, rescheduling, cancellation, relationship-manager notification)</w:t>
            </w:r>
          </w:p>
        </w:tc>
      </w:tr>
      <w:tr>
        <w:tc>
          <w:tcPr>
            <w:tcW w:type="dxa" w:w="1800"/>
          </w:tcPr>
          <w:p>
            <w:r>
              <w:rPr>
                <w:b w:val="false"/>
                <w:bCs w:val="false"/>
                <w:color w:val="000000"/>
                <w:sz w:val="20"/>
                <w:szCs w:val="20"/>
              </w:rPr>
              <w:t xml:space="preserve">Workflow</w:t>
            </w:r>
          </w:p>
        </w:tc>
        <w:tc>
          <w:tcPr>
            <w:tcW w:type="dxa" w:w="2800"/>
          </w:tcPr>
          <w:p>
            <w:r>
              <w:rPr>
                <w:b w:val="false"/>
                <w:bCs w:val="false"/>
                <w:color w:val="000000"/>
                <w:sz w:val="20"/>
                <w:szCs w:val="20"/>
              </w:rPr>
              <w:t xml:space="preserve">Business automation</w:t>
            </w:r>
          </w:p>
        </w:tc>
        <w:tc>
          <w:tcPr>
            <w:tcW w:type="dxa" w:w="4750"/>
          </w:tcPr>
          <w:p>
            <w:r>
              <w:rPr>
                <w:b w:val="false"/>
                <w:bCs w:val="false"/>
                <w:color w:val="000000"/>
                <w:sz w:val="20"/>
                <w:szCs w:val="20"/>
              </w:rPr>
              <w:t xml:space="preserve">n8n workflow (n8n/nrp_voice_agent_workflow.json) orchestrating Calendar/Email/CRM around the AI agent's decisions</w:t>
            </w:r>
          </w:p>
        </w:tc>
      </w:tr>
      <w:tr>
        <w:tc>
          <w:tcPr>
            <w:tcW w:type="dxa" w:w="1800"/>
          </w:tcPr>
          <w:p>
            <w:r>
              <w:rPr>
                <w:b w:val="false"/>
                <w:bCs w:val="false"/>
                <w:color w:val="000000"/>
                <w:sz w:val="20"/>
                <w:szCs w:val="20"/>
              </w:rPr>
              <w:t xml:space="preserve">Deployment</w:t>
            </w:r>
          </w:p>
        </w:tc>
        <w:tc>
          <w:tcPr>
            <w:tcW w:type="dxa" w:w="2800"/>
          </w:tcPr>
          <w:p>
            <w:r>
              <w:rPr>
                <w:b w:val="false"/>
                <w:bCs w:val="false"/>
                <w:color w:val="000000"/>
                <w:sz w:val="20"/>
                <w:szCs w:val="20"/>
              </w:rPr>
              <w:t xml:space="preserve">Backend</w:t>
            </w:r>
          </w:p>
        </w:tc>
        <w:tc>
          <w:tcPr>
            <w:tcW w:type="dxa" w:w="4750"/>
          </w:tcPr>
          <w:p>
            <w:r>
              <w:rPr>
                <w:b w:val="false"/>
                <w:bCs w:val="false"/>
                <w:color w:val="000000"/>
                <w:sz w:val="20"/>
                <w:szCs w:val="20"/>
              </w:rPr>
              <w:t xml:space="preserve">FastAPI skeleton (app/main.py) + Dockerfile</w:t>
            </w:r>
          </w:p>
        </w:tc>
      </w:tr>
    </w:tbl>
    <w:p>
      <w:pPr>
        <w:pStyle w:val="Heading1"/>
        <w:spacing w:after="160" w:before="320"/>
      </w:pPr>
      <w:r>
        <w:t xml:space="preserve">4. Evaluation Results</w:t>
      </w:r>
    </w:p>
    <w:p>
      <w:pPr>
        <w:spacing w:after="160"/>
      </w:pPr>
      <w:r>
        <w:t xml:space="preserve">The notebook (Section 6) includes a full evaluation suite: a 20-question grounding/hallucination test built directly from the property data, a chunk-size comparison across three chunking strategies, a 45-case scripted test-conversation battery spanning every required category (buyer, investment, commercial, returning-customer memory, booking, rescheduling, cancellation, off-topic, prompt injection, angry customer, and silent caller), and an LLM-judge scoring pass for naturalness/persuasiveness as an automated proxy for human evaluation.</w:t>
      </w:r>
    </w:p>
    <w:p>
      <w:pPr>
        <w:spacing w:after="160"/>
      </w:pPr>
      <w:r>
        <w:rPr>
          <w:i/>
          <w:iCs/>
          <w:color w:val="595959"/>
        </w:rPr>
        <w:t xml:space="preserve">Running that suite requires a live Gemini API key and network access, which this report-generation step does not have. Populate this section with the actual numbers by running Section 6 end-to-end and copying the summary from the auto-generated EVALUATION_REPORT.md: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50"/>
      </w:tblGrid>
      <w:tr>
        <w:tc>
          <w:tcPr>
            <w:tcW w:type="dxa" w:w="3800"/>
            <w:shd w:fill="1F3864" w:val="clear"/>
          </w:tcPr>
          <w:p>
            <w:r>
              <w:rPr>
                <w:b/>
                <w:bCs/>
                <w:color w:val="FFFFFF"/>
                <w:sz w:val="20"/>
                <w:szCs w:val="20"/>
              </w:rPr>
              <w:t xml:space="preserve">Metric</w:t>
            </w:r>
          </w:p>
        </w:tc>
        <w:tc>
          <w:tcPr>
            <w:tcW w:type="dxa" w:w="2000"/>
            <w:shd w:fill="1F3864" w:val="clear"/>
          </w:tcPr>
          <w:p>
            <w:r>
              <w:rPr>
                <w:b/>
                <w:bCs/>
                <w:color w:val="FFFFFF"/>
                <w:sz w:val="20"/>
                <w:szCs w:val="20"/>
              </w:rPr>
              <w:t xml:space="preserve">Target</w:t>
            </w:r>
          </w:p>
        </w:tc>
        <w:tc>
          <w:tcPr>
            <w:tcW w:type="dxa" w:w="3550"/>
            <w:shd w:fill="1F3864" w:val="clear"/>
          </w:tcPr>
          <w:p>
            <w:r>
              <w:rPr>
                <w:b/>
                <w:bCs/>
                <w:color w:val="FFFFFF"/>
                <w:sz w:val="20"/>
                <w:szCs w:val="20"/>
              </w:rPr>
              <w:t xml:space="preserve">Result (fill in from EVALUATION_REPORT.md)</w:t>
            </w:r>
          </w:p>
        </w:tc>
      </w:tr>
      <w:tr>
        <w:tc>
          <w:tcPr>
            <w:tcW w:type="dxa" w:w="3800"/>
          </w:tcPr>
          <w:p>
            <w:r>
              <w:rPr>
                <w:b w:val="false"/>
                <w:bCs w:val="false"/>
                <w:color w:val="000000"/>
                <w:sz w:val="20"/>
                <w:szCs w:val="20"/>
              </w:rPr>
              <w:t xml:space="preserve">Grounding rate (retrieval-correctness)</w:t>
            </w:r>
          </w:p>
        </w:tc>
        <w:tc>
          <w:tcPr>
            <w:tcW w:type="dxa" w:w="2000"/>
          </w:tcPr>
          <w:p>
            <w:r>
              <w:rPr>
                <w:b w:val="false"/>
                <w:bCs w:val="false"/>
                <w:color w:val="000000"/>
                <w:sz w:val="20"/>
                <w:szCs w:val="20"/>
              </w:rPr>
              <w:t xml:space="preserve">&gt; 90%</w:t>
            </w:r>
          </w:p>
        </w:tc>
        <w:tc>
          <w:tcPr>
            <w:tcW w:type="dxa" w:w="3550"/>
          </w:tcPr>
          <w:p>
            <w:r>
              <w:rPr>
                <w:b w:val="false"/>
                <w:bCs w:val="false"/>
                <w:color w:val="000000"/>
                <w:sz w:val="20"/>
                <w:szCs w:val="20"/>
              </w:rPr>
              <w:t xml:space="preserve">—</w:t>
            </w:r>
          </w:p>
        </w:tc>
      </w:tr>
      <w:tr>
        <w:tc>
          <w:tcPr>
            <w:tcW w:type="dxa" w:w="3800"/>
          </w:tcPr>
          <w:p>
            <w:r>
              <w:rPr>
                <w:b w:val="false"/>
                <w:bCs w:val="false"/>
                <w:color w:val="000000"/>
                <w:sz w:val="20"/>
                <w:szCs w:val="20"/>
              </w:rPr>
              <w:t xml:space="preserve">Hallucination rate</w:t>
            </w:r>
          </w:p>
        </w:tc>
        <w:tc>
          <w:tcPr>
            <w:tcW w:type="dxa" w:w="2000"/>
          </w:tcPr>
          <w:p>
            <w:r>
              <w:rPr>
                <w:b w:val="false"/>
                <w:bCs w:val="false"/>
                <w:color w:val="000000"/>
                <w:sz w:val="20"/>
                <w:szCs w:val="20"/>
              </w:rPr>
              <w:t xml:space="preserve">&lt; 10%</w:t>
            </w:r>
          </w:p>
        </w:tc>
        <w:tc>
          <w:tcPr>
            <w:tcW w:type="dxa" w:w="3550"/>
          </w:tcPr>
          <w:p>
            <w:r>
              <w:rPr>
                <w:b w:val="false"/>
                <w:bCs w:val="false"/>
                <w:color w:val="000000"/>
                <w:sz w:val="20"/>
                <w:szCs w:val="20"/>
              </w:rPr>
              <w:t xml:space="preserve">—</w:t>
            </w:r>
          </w:p>
        </w:tc>
      </w:tr>
      <w:tr>
        <w:tc>
          <w:tcPr>
            <w:tcW w:type="dxa" w:w="3800"/>
          </w:tcPr>
          <w:p>
            <w:r>
              <w:rPr>
                <w:b w:val="false"/>
                <w:bCs w:val="false"/>
                <w:color w:val="000000"/>
                <w:sz w:val="20"/>
                <w:szCs w:val="20"/>
              </w:rPr>
              <w:t xml:space="preserve">Avg turn latency (text path)</w:t>
            </w:r>
          </w:p>
        </w:tc>
        <w:tc>
          <w:tcPr>
            <w:tcW w:type="dxa" w:w="2000"/>
          </w:tcPr>
          <w:p>
            <w:r>
              <w:rPr>
                <w:b w:val="false"/>
                <w:bCs w:val="false"/>
                <w:color w:val="000000"/>
                <w:sz w:val="20"/>
                <w:szCs w:val="20"/>
              </w:rPr>
              <w:t xml:space="preserve">&lt; 1.5s</w:t>
            </w:r>
          </w:p>
        </w:tc>
        <w:tc>
          <w:tcPr>
            <w:tcW w:type="dxa" w:w="3550"/>
          </w:tcPr>
          <w:p>
            <w:r>
              <w:rPr>
                <w:b w:val="false"/>
                <w:bCs w:val="false"/>
                <w:color w:val="000000"/>
                <w:sz w:val="20"/>
                <w:szCs w:val="20"/>
              </w:rPr>
              <w:t xml:space="preserve">—</w:t>
            </w:r>
          </w:p>
        </w:tc>
      </w:tr>
      <w:tr>
        <w:tc>
          <w:tcPr>
            <w:tcW w:type="dxa" w:w="3800"/>
          </w:tcPr>
          <w:p>
            <w:r>
              <w:rPr>
                <w:b w:val="false"/>
                <w:bCs w:val="false"/>
                <w:color w:val="000000"/>
                <w:sz w:val="20"/>
                <w:szCs w:val="20"/>
              </w:rPr>
              <w:t xml:space="preserve">Prompt injection block rate</w:t>
            </w:r>
          </w:p>
        </w:tc>
        <w:tc>
          <w:tcPr>
            <w:tcW w:type="dxa" w:w="2000"/>
          </w:tcPr>
          <w:p>
            <w:r>
              <w:rPr>
                <w:b w:val="false"/>
                <w:bCs w:val="false"/>
                <w:color w:val="000000"/>
                <w:sz w:val="20"/>
                <w:szCs w:val="20"/>
              </w:rPr>
              <w:t xml:space="preserve">100%</w:t>
            </w:r>
          </w:p>
        </w:tc>
        <w:tc>
          <w:tcPr>
            <w:tcW w:type="dxa" w:w="3550"/>
          </w:tcPr>
          <w:p>
            <w:r>
              <w:rPr>
                <w:b w:val="false"/>
                <w:bCs w:val="false"/>
                <w:color w:val="000000"/>
                <w:sz w:val="20"/>
                <w:szCs w:val="20"/>
              </w:rPr>
              <w:t xml:space="preserve">—</w:t>
            </w:r>
          </w:p>
        </w:tc>
      </w:tr>
      <w:tr>
        <w:tc>
          <w:tcPr>
            <w:tcW w:type="dxa" w:w="3800"/>
          </w:tcPr>
          <w:p>
            <w:r>
              <w:rPr>
                <w:b w:val="false"/>
                <w:bCs w:val="false"/>
                <w:color w:val="000000"/>
                <w:sz w:val="20"/>
                <w:szCs w:val="20"/>
              </w:rPr>
              <w:t xml:space="preserve">LLM-judge naturalness (1-5)</w:t>
            </w:r>
          </w:p>
        </w:tc>
        <w:tc>
          <w:tcPr>
            <w:tcW w:type="dxa" w:w="2000"/>
          </w:tcPr>
          <w:p>
            <w:r>
              <w:rPr>
                <w:b w:val="false"/>
                <w:bCs w:val="false"/>
                <w:color w:val="000000"/>
                <w:sz w:val="20"/>
                <w:szCs w:val="20"/>
              </w:rPr>
              <w:t xml:space="preserve">≥ 4.0</w:t>
            </w:r>
          </w:p>
        </w:tc>
        <w:tc>
          <w:tcPr>
            <w:tcW w:type="dxa" w:w="3550"/>
          </w:tcPr>
          <w:p>
            <w:r>
              <w:rPr>
                <w:b w:val="false"/>
                <w:bCs w:val="false"/>
                <w:color w:val="000000"/>
                <w:sz w:val="20"/>
                <w:szCs w:val="20"/>
              </w:rPr>
              <w:t xml:space="preserve">—</w:t>
            </w:r>
          </w:p>
        </w:tc>
      </w:tr>
      <w:tr>
        <w:tc>
          <w:tcPr>
            <w:tcW w:type="dxa" w:w="3800"/>
          </w:tcPr>
          <w:p>
            <w:r>
              <w:rPr>
                <w:b w:val="false"/>
                <w:bCs w:val="false"/>
                <w:color w:val="000000"/>
                <w:sz w:val="20"/>
                <w:szCs w:val="20"/>
              </w:rPr>
              <w:t xml:space="preserve">LLM-judge persuasiveness (1-5)</w:t>
            </w:r>
          </w:p>
        </w:tc>
        <w:tc>
          <w:tcPr>
            <w:tcW w:type="dxa" w:w="2000"/>
          </w:tcPr>
          <w:p>
            <w:r>
              <w:rPr>
                <w:b w:val="false"/>
                <w:bCs w:val="false"/>
                <w:color w:val="000000"/>
                <w:sz w:val="20"/>
                <w:szCs w:val="20"/>
              </w:rPr>
              <w:t xml:space="preserve">≥ 3.5</w:t>
            </w:r>
          </w:p>
        </w:tc>
        <w:tc>
          <w:tcPr>
            <w:tcW w:type="dxa" w:w="3550"/>
          </w:tcPr>
          <w:p>
            <w:r>
              <w:rPr>
                <w:b w:val="false"/>
                <w:bCs w:val="false"/>
                <w:color w:val="000000"/>
                <w:sz w:val="20"/>
                <w:szCs w:val="20"/>
              </w:rPr>
              <w:t xml:space="preserve">—</w:t>
            </w:r>
          </w:p>
        </w:tc>
      </w:tr>
    </w:tbl>
    <w:p>
      <w:pPr>
        <w:pStyle w:val="Heading1"/>
        <w:spacing w:after="160" w:before="320"/>
      </w:pPr>
      <w:r>
        <w:t xml:space="preserve">5. Limitations</w:t>
      </w:r>
    </w:p>
    <w:p>
      <w:pPr>
        <w:pStyle w:val="ListParagraph"/>
        <w:numPr>
          <w:ilvl w:val="0"/>
          <w:numId w:val="1"/>
        </w:numPr>
        <w:spacing w:after="80"/>
      </w:pPr>
      <w:r>
        <w:t xml:space="preserve">This is a simulated voice agent (typed input, spoken TTS output) — no live phone line (Twilio) is wired up; app/main.py and the n8n workflow document the path to add one.</w:t>
      </w:r>
    </w:p>
    <w:p>
      <w:pPr>
        <w:pStyle w:val="ListParagraph"/>
        <w:numPr>
          <w:ilvl w:val="0"/>
          <w:numId w:val="1"/>
        </w:numPr>
        <w:spacing w:after="80"/>
      </w:pPr>
      <w:r>
        <w:t xml:space="preserve">TTS uses free gTTS, which renders Urdu script but doesn't naturally code-switch UrduLish the way Fish Audio (the recommended production choice) does.</w:t>
      </w:r>
    </w:p>
    <w:p>
      <w:pPr>
        <w:pStyle w:val="ListParagraph"/>
        <w:numPr>
          <w:ilvl w:val="0"/>
          <w:numId w:val="1"/>
        </w:numPr>
        <w:spacing w:after="80"/>
      </w:pPr>
      <w:r>
        <w:t xml:space="preserve">The vector store is an in-memory NumPy implementation sized for this project's ~18 documents; it should move to a hosted vector DB if the knowledge base grows past a few hundred entries.</w:t>
      </w:r>
    </w:p>
    <w:p>
      <w:pPr>
        <w:pStyle w:val="ListParagraph"/>
        <w:numPr>
          <w:ilvl w:val="0"/>
          <w:numId w:val="1"/>
        </w:numPr>
        <w:spacing w:after="80"/>
      </w:pPr>
      <w:r>
        <w:t xml:space="preserve">LLM-judge evaluation scores (naturalness, persuasiveness) are an automated proxy, not real human raters — a genuine human evaluation pass is still recommended before a production launch.</w:t>
      </w:r>
    </w:p>
    <w:p>
      <w:pPr>
        <w:pStyle w:val="ListParagraph"/>
        <w:numPr>
          <w:ilvl w:val="0"/>
          <w:numId w:val="1"/>
        </w:numPr>
        <w:spacing w:after="80"/>
      </w:pPr>
      <w:r>
        <w:t xml:space="preserve">SQLite stands in for PostgreSQL/MongoDB per the original brief's suggested stack — appropriate for this build's scale, not for multi-instance production deployment.</w:t>
      </w:r>
    </w:p>
    <w:p>
      <w:pPr>
        <w:pStyle w:val="ListParagraph"/>
        <w:numPr>
          <w:ilvl w:val="0"/>
          <w:numId w:val="1"/>
        </w:numPr>
        <w:spacing w:after="80"/>
      </w:pPr>
      <w:r>
        <w:t xml:space="preserve">The FastAPI backend (app/main.py) and the n8n workflow's /turn and /crm/log endpoint contracts are specified and documented but not fully implemented — refactoring the notebook into an importable agent/ package is the next engineering step.</w:t>
      </w:r>
    </w:p>
    <w:p>
      <w:pPr>
        <w:pStyle w:val="Heading1"/>
        <w:spacing w:after="160" w:before="320"/>
      </w:pPr>
      <w:r>
        <w:t xml:space="preserve">6. Notable Engineering Decision: No ChromaDB</w:t>
      </w:r>
    </w:p>
    <w:p>
      <w:pPr>
        <w:spacing w:after="160"/>
      </w:pPr>
      <w:r>
        <w:t xml:space="preserve">An early version of this project used ChromaDB for the vector store. Its onnxruntime/hnswlib native dependencies caused hard, traceback-free kernel crashes on several Windows/VS Code setups — a class of bug that no amount of application-level error handling can catch, since the crash occurs below the Python interpreter. Given the knowledge base's small size (10 FAQs, 8 properties), a ~15-line pure-NumPy cosine-similarity store delivers equivalent retrieval quality with zero native-dependency risk. This is documented as a deliberate trade-off, not an oversight, in README.md.</w:t>
      </w:r>
    </w:p>
    <w:p>
      <w:pPr>
        <w:pStyle w:val="Heading1"/>
        <w:spacing w:after="160" w:before="320"/>
      </w:pPr>
      <w:r>
        <w:t xml:space="preserve">7. Future Roadmap</w:t>
      </w:r>
    </w:p>
    <w:p>
      <w:pPr>
        <w:pStyle w:val="ListParagraph"/>
        <w:numPr>
          <w:ilvl w:val="0"/>
          <w:numId w:val="1"/>
        </w:numPr>
        <w:spacing w:after="80"/>
      </w:pPr>
      <w:r>
        <w:t xml:space="preserve">WhatsApp confirmation of video walkthroughs and Meet links — the highest-leverage addition for an NRP audience that lives on WhatsApp</w:t>
      </w:r>
    </w:p>
    <w:p>
      <w:pPr>
        <w:pStyle w:val="ListParagraph"/>
        <w:numPr>
          <w:ilvl w:val="0"/>
          <w:numId w:val="1"/>
        </w:numPr>
        <w:spacing w:after="80"/>
      </w:pPr>
      <w:r>
        <w:t xml:space="preserve">Live FX rate lookup to replace the static USD estimate column with a real-time conversion</w:t>
      </w:r>
    </w:p>
    <w:p>
      <w:pPr>
        <w:pStyle w:val="ListParagraph"/>
        <w:numPr>
          <w:ilvl w:val="0"/>
          <w:numId w:val="1"/>
        </w:numPr>
        <w:spacing w:after="80"/>
      </w:pPr>
      <w:r>
        <w:t xml:space="preserve">Automatic Roshan Digital Account application deep-link sent after a first qualifying conversation</w:t>
      </w:r>
    </w:p>
    <w:p>
      <w:pPr>
        <w:pStyle w:val="ListParagraph"/>
        <w:numPr>
          <w:ilvl w:val="0"/>
          <w:numId w:val="1"/>
        </w:numPr>
        <w:spacing w:after="80"/>
      </w:pPr>
      <w:r>
        <w:t xml:space="preserve">Lead scoring — prioritize leads that state a concrete country + budget in the first turn</w:t>
      </w:r>
    </w:p>
    <w:p>
      <w:pPr>
        <w:pStyle w:val="ListParagraph"/>
        <w:numPr>
          <w:ilvl w:val="0"/>
          <w:numId w:val="1"/>
        </w:numPr>
        <w:spacing w:after="80"/>
      </w:pPr>
      <w:r>
        <w:t xml:space="preserve">Full CRM integration (HubSpot/Salesforce) replacing the SQLite stand-in</w:t>
      </w:r>
    </w:p>
    <w:p>
      <w:pPr>
        <w:pStyle w:val="ListParagraph"/>
        <w:numPr>
          <w:ilvl w:val="0"/>
          <w:numId w:val="1"/>
        </w:numPr>
        <w:spacing w:after="80"/>
      </w:pPr>
      <w:r>
        <w:t xml:space="preserve">Real telephony via Twilio, with Fish Audio for production-grade UrduLish TTS</w:t>
      </w:r>
    </w:p>
    <w:p>
      <w:pPr>
        <w:pStyle w:val="ListParagraph"/>
        <w:numPr>
          <w:ilvl w:val="0"/>
          <w:numId w:val="1"/>
        </w:numPr>
        <w:spacing w:after="80"/>
      </w:pPr>
      <w:r>
        <w:t xml:space="preserve">Migrate structured data to managed PostgreSQL for multi-instance production deployment</w:t>
      </w:r>
    </w:p>
    <w:p>
      <w:pPr>
        <w:pStyle w:val="ListParagraph"/>
        <w:numPr>
          <w:ilvl w:val="0"/>
          <w:numId w:val="1"/>
        </w:numPr>
        <w:spacing w:after="80"/>
      </w:pPr>
      <w:r>
        <w:t xml:space="preserve">Expand the FAQ/property knowledge base and re-run the chunk-size evaluation (Section 2.5) — sentence-level chunking is expected to overtake full-row chunking past roughly 50 FAQ entries</w:t>
      </w:r>
    </w:p>
    <w:p>
      <w:pPr>
        <w:pStyle w:val="Heading1"/>
        <w:spacing w:after="160" w:before="320"/>
      </w:pPr>
      <w:r>
        <w:t xml:space="preserve">8. Supporting Documents</w:t>
      </w:r>
    </w:p>
    <w:p>
      <w:pPr>
        <w:pStyle w:val="ListParagraph"/>
        <w:numPr>
          <w:ilvl w:val="0"/>
          <w:numId w:val="1"/>
        </w:numPr>
        <w:spacing w:after="80"/>
      </w:pPr>
      <w:r>
        <w:t xml:space="preserve">README.md — setup, crash-avoidance notes, known limitations</w:t>
      </w:r>
    </w:p>
    <w:p>
      <w:pPr>
        <w:pStyle w:val="ListParagraph"/>
        <w:numPr>
          <w:ilvl w:val="0"/>
          <w:numId w:val="1"/>
        </w:numPr>
        <w:spacing w:after="80"/>
      </w:pPr>
      <w:r>
        <w:t xml:space="preserve">docs/ARCHITECTURE_AND_FLOWS.md — architecture diagram + 8 conversation flowcharts</w:t>
      </w:r>
    </w:p>
    <w:p>
      <w:pPr>
        <w:pStyle w:val="ListParagraph"/>
        <w:numPr>
          <w:ilvl w:val="0"/>
          <w:numId w:val="1"/>
        </w:numPr>
        <w:spacing w:after="80"/>
      </w:pPr>
      <w:r>
        <w:t xml:space="preserve">docs/VOICE_STACK_EVALUATION.md — Fish Audio vs. ElevenLabs comparison</w:t>
      </w:r>
    </w:p>
    <w:p>
      <w:pPr>
        <w:pStyle w:val="ListParagraph"/>
        <w:numPr>
          <w:ilvl w:val="0"/>
          <w:numId w:val="1"/>
        </w:numPr>
        <w:spacing w:after="80"/>
      </w:pPr>
      <w:r>
        <w:t xml:space="preserve">docs/MONITORING_MAINTENANCE_PLAN.md — thresholds, backup strategy, security review cadence</w:t>
      </w:r>
    </w:p>
    <w:p>
      <w:pPr>
        <w:pStyle w:val="ListParagraph"/>
        <w:numPr>
          <w:ilvl w:val="0"/>
          <w:numId w:val="1"/>
        </w:numPr>
        <w:spacing w:after="80"/>
      </w:pPr>
      <w:r>
        <w:t xml:space="preserve">docs/USER_ADMIN_TROUBLESHOOTING_GUIDE.md — day-to-day operation and common-issue fixes</w:t>
      </w:r>
    </w:p>
    <w:p>
      <w:pPr>
        <w:pStyle w:val="ListParagraph"/>
        <w:numPr>
          <w:ilvl w:val="0"/>
          <w:numId w:val="1"/>
        </w:numPr>
        <w:spacing w:after="80"/>
      </w:pPr>
      <w:r>
        <w:t xml:space="preserve">docs/API_DOCUMENTATION.md — FastAPI endpoint contract</w:t>
      </w:r>
    </w:p>
    <w:p>
      <w:pPr>
        <w:pStyle w:val="ListParagraph"/>
        <w:numPr>
          <w:ilvl w:val="0"/>
          <w:numId w:val="1"/>
        </w:numPr>
        <w:spacing w:after="80"/>
      </w:pPr>
      <w:r>
        <w:t xml:space="preserve">docs/DEMO_SCRIPT.md — 10-minute stakeholder demonstration script</w:t>
      </w:r>
    </w:p>
    <w:p>
      <w:pPr>
        <w:pStyle w:val="ListParagraph"/>
        <w:numPr>
          <w:ilvl w:val="0"/>
          <w:numId w:val="1"/>
        </w:numPr>
        <w:spacing w:after="80"/>
      </w:pPr>
      <w:r>
        <w:t xml:space="preserve">n8n/nrp_voice_agent_workflow.json + n8n/README.md — importable business-automation workflow</w:t>
      </w:r>
    </w:p>
    <w:p>
      <w:pPr>
        <w:pStyle w:val="ListParagraph"/>
        <w:numPr>
          <w:ilvl w:val="0"/>
          <w:numId w:val="1"/>
        </w:numPr>
        <w:spacing w:after="80"/>
      </w:pPr>
      <w:r>
        <w:t xml:space="preserve">NRP_Voice_Agent_Capstone.ipynb — the full runnable implementation and evaluation suite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2026-09-25T20:58:35.272Z</dcterms:created>
  <dcterms:modified xsi:type="dcterms:W3CDTF">2026-09-25T20:58:35.281Z</dcterms:modified>
</cp:coreProperties>
</file>

<file path=docProps/custom.xml><?xml version="1.0" encoding="utf-8"?>
<Properties xmlns="http://schemas.openxmlformats.org/officeDocument/2006/custom-properties" xmlns:vt="http://schemas.openxmlformats.org/officeDocument/2006/docPropsVTypes"/>
</file>