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sz w:val="36"/>
          <w:szCs w:val="36"/>
          <w:rtl w:val="0"/>
        </w:rPr>
        <w:t xml:space="preserve"> Diabetes explained</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xy3p7ttdfd75" w:id="0"/>
      <w:bookmarkEnd w:id="0"/>
      <w:r w:rsidDel="00000000" w:rsidR="00000000" w:rsidRPr="00000000">
        <w:rPr>
          <w:b w:val="1"/>
          <w:sz w:val="46"/>
          <w:szCs w:val="46"/>
          <w:rtl w:val="0"/>
        </w:rPr>
        <w:t xml:space="preserve">Research Document: Diabetes and the Role of </w:t>
      </w:r>
      <w:r w:rsidDel="00000000" w:rsidR="00000000" w:rsidRPr="00000000">
        <w:rPr>
          <w:b w:val="1"/>
          <w:i w:val="1"/>
          <w:sz w:val="46"/>
          <w:szCs w:val="46"/>
          <w:rtl w:val="0"/>
        </w:rPr>
        <w:t xml:space="preserve">Gymnema sylvestre</w:t>
      </w:r>
      <w:r w:rsidDel="00000000" w:rsidR="00000000" w:rsidRPr="00000000">
        <w:rPr>
          <w:b w:val="1"/>
          <w:sz w:val="46"/>
          <w:szCs w:val="46"/>
          <w:rtl w:val="0"/>
        </w:rPr>
        <w:t xml:space="preserve"> in Management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smiy8ibaaa0i" w:id="1"/>
      <w:bookmarkEnd w:id="1"/>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Diabetes mellitus is a chronic metabolic condition characterized by elevated blood glucose levels (hyperglycemia), arising from insufficient insulin production or ineffective use of insulin. Insulin, a hormone secreted by the pancreas, enables glucose from food to enter cells for energy. When this process is disrupted, glucose accumulates in the bloodstream, potentially causing long-term damage to vital organs such as the heart, kidneys, eyes, and nerves.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ws82epncc13" w:id="2"/>
      <w:bookmarkEnd w:id="2"/>
      <w:r w:rsidDel="00000000" w:rsidR="00000000" w:rsidRPr="00000000">
        <w:rPr>
          <w:b w:val="1"/>
          <w:sz w:val="34"/>
          <w:szCs w:val="34"/>
          <w:rtl w:val="0"/>
        </w:rPr>
        <w:t xml:space="preserve">Pathophysiology of Diabetes</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Glucose as Fuel</w:t>
      </w:r>
      <w:r w:rsidDel="00000000" w:rsidR="00000000" w:rsidRPr="00000000">
        <w:rPr>
          <w:rtl w:val="0"/>
        </w:rPr>
        <w:t xml:space="preserve"> – Food is metabolized into glucose, the body’s primary energy source.</w:t>
        <w:br w:type="textWrapping"/>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Insulin’s Role</w:t>
      </w:r>
      <w:r w:rsidDel="00000000" w:rsidR="00000000" w:rsidRPr="00000000">
        <w:rPr>
          <w:rtl w:val="0"/>
        </w:rPr>
        <w:t xml:space="preserve"> – The pancreas releases insulin to facilitate glucose transport into cells.</w:t>
        <w:br w:type="textWrapping"/>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The Problem in Diabetes</w:t>
      </w:r>
      <w:r w:rsidDel="00000000" w:rsidR="00000000" w:rsidRPr="00000000">
        <w:rPr>
          <w:rtl w:val="0"/>
        </w:rPr>
        <w:t xml:space="preserve"> – Either the pancreas produces insufficient insulin or cells develop insulin resistance.</w:t>
        <w:br w:type="textWrapping"/>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Resulting Hyperglycemia</w:t>
      </w:r>
      <w:r w:rsidDel="00000000" w:rsidR="00000000" w:rsidRPr="00000000">
        <w:rPr>
          <w:rtl w:val="0"/>
        </w:rPr>
        <w:t xml:space="preserve"> – Glucose remains in the bloodstream, leading to sustained high blood sugar levels.</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666l5so8do0" w:id="3"/>
      <w:bookmarkEnd w:id="3"/>
      <w:r w:rsidDel="00000000" w:rsidR="00000000" w:rsidRPr="00000000">
        <w:rPr>
          <w:b w:val="1"/>
          <w:sz w:val="34"/>
          <w:szCs w:val="34"/>
          <w:rtl w:val="0"/>
        </w:rPr>
        <w:t xml:space="preserve">Types of Diabetes</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Type 1 Diabetes</w:t>
      </w:r>
      <w:r w:rsidDel="00000000" w:rsidR="00000000" w:rsidRPr="00000000">
        <w:rPr>
          <w:rtl w:val="0"/>
        </w:rPr>
        <w:t xml:space="preserve"> – Autoimmune destruction of pancreatic beta cells, requiring lifelong insulin therapy.</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Type 2 Diabetes</w:t>
      </w:r>
      <w:r w:rsidDel="00000000" w:rsidR="00000000" w:rsidRPr="00000000">
        <w:rPr>
          <w:rtl w:val="0"/>
        </w:rPr>
        <w:t xml:space="preserve"> – The most common form, associated with obesity, sedentary lifestyle, poor diet, and genetics. Involves insulin resistance and/or reduced insulin production.</w:t>
        <w:br w:type="textWrapping"/>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Gestational Diabetes</w:t>
      </w:r>
      <w:r w:rsidDel="00000000" w:rsidR="00000000" w:rsidRPr="00000000">
        <w:rPr>
          <w:rtl w:val="0"/>
        </w:rPr>
        <w:t xml:space="preserve"> – Develops during pregnancy due to hormone-induced insulin resistance; usually temporary but increases long-term risk for both mother and child.</w:t>
        <w:br w:type="textWrapping"/>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pcovit73f6d" w:id="4"/>
      <w:bookmarkEnd w:id="4"/>
      <w:r w:rsidDel="00000000" w:rsidR="00000000" w:rsidRPr="00000000">
        <w:rPr>
          <w:b w:val="1"/>
          <w:sz w:val="34"/>
          <w:szCs w:val="34"/>
          <w:rtl w:val="0"/>
        </w:rPr>
        <w:t xml:space="preserve">Symptoms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Increased thirst and urination</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Persistent hunger</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Unexplained weight loss</w:t>
        <w:br w:type="textWrapping"/>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Fatigue</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Blurred vision</w:t>
        <w:br w:type="textWrapping"/>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Tingling or numbness in extremities</w:t>
        <w:br w:type="textWrapping"/>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kjuyx6i7wkhv" w:id="5"/>
      <w:bookmarkEnd w:id="5"/>
      <w:r w:rsidDel="00000000" w:rsidR="00000000" w:rsidRPr="00000000">
        <w:rPr>
          <w:b w:val="1"/>
          <w:sz w:val="34"/>
          <w:szCs w:val="34"/>
          <w:rtl w:val="0"/>
        </w:rPr>
        <w:t xml:space="preserve">Complications</w:t>
      </w:r>
    </w:p>
    <w:p w:rsidR="00000000" w:rsidDel="00000000" w:rsidP="00000000" w:rsidRDefault="00000000" w:rsidRPr="00000000" w14:paraId="00000017">
      <w:pPr>
        <w:spacing w:after="240" w:before="240" w:lineRule="auto"/>
        <w:rPr/>
      </w:pPr>
      <w:r w:rsidDel="00000000" w:rsidR="00000000" w:rsidRPr="00000000">
        <w:rPr>
          <w:rtl w:val="0"/>
        </w:rPr>
        <w:t xml:space="preserve">Chronic hyperglycemia may lead to:</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Cardiovascular disease</w:t>
      </w:r>
      <w:r w:rsidDel="00000000" w:rsidR="00000000" w:rsidRPr="00000000">
        <w:rPr>
          <w:rtl w:val="0"/>
        </w:rPr>
        <w:t xml:space="preserve"> – Elevated risk of heart attack and stroke</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Kidney damage (nephropathy)</w:t>
      </w:r>
      <w:r w:rsidDel="00000000" w:rsidR="00000000" w:rsidRPr="00000000">
        <w:rPr>
          <w:rtl w:val="0"/>
        </w:rPr>
        <w:t xml:space="preserve"> – Potential kidney failure</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Eye damage (retinopathy)</w:t>
      </w:r>
      <w:r w:rsidDel="00000000" w:rsidR="00000000" w:rsidRPr="00000000">
        <w:rPr>
          <w:rtl w:val="0"/>
        </w:rPr>
        <w:t xml:space="preserve"> – Risk of blindness</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Nerve damage (neuropathy)</w:t>
      </w:r>
      <w:r w:rsidDel="00000000" w:rsidR="00000000" w:rsidRPr="00000000">
        <w:rPr>
          <w:rtl w:val="0"/>
        </w:rPr>
        <w:t xml:space="preserve"> – Pain, numbness, and digestive dysfunction</w:t>
        <w:br w:type="textWrapping"/>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Foot problems</w:t>
      </w:r>
      <w:r w:rsidDel="00000000" w:rsidR="00000000" w:rsidRPr="00000000">
        <w:rPr>
          <w:rtl w:val="0"/>
        </w:rPr>
        <w:t xml:space="preserve"> – Poor wound healing and possible amputations</w:t>
        <w:br w:type="textWrapping"/>
      </w:r>
    </w:p>
    <w:p w:rsidR="00000000" w:rsidDel="00000000" w:rsidP="00000000" w:rsidRDefault="00000000" w:rsidRPr="00000000" w14:paraId="0000001D">
      <w:pPr>
        <w:pStyle w:val="Heading2"/>
        <w:keepNext w:val="0"/>
        <w:keepLines w:val="0"/>
        <w:spacing w:after="80" w:lineRule="auto"/>
        <w:rPr>
          <w:b w:val="1"/>
          <w:i w:val="1"/>
          <w:sz w:val="34"/>
          <w:szCs w:val="34"/>
        </w:rPr>
      </w:pPr>
      <w:bookmarkStart w:colFirst="0" w:colLast="0" w:name="_dbkb97eax344" w:id="6"/>
      <w:bookmarkEnd w:id="6"/>
      <w:r w:rsidDel="00000000" w:rsidR="00000000" w:rsidRPr="00000000">
        <w:rPr>
          <w:b w:val="1"/>
          <w:sz w:val="34"/>
          <w:szCs w:val="34"/>
          <w:rtl w:val="0"/>
        </w:rPr>
        <w:t xml:space="preserve">Herbal Intervention: </w:t>
      </w:r>
      <w:r w:rsidDel="00000000" w:rsidR="00000000" w:rsidRPr="00000000">
        <w:rPr>
          <w:b w:val="1"/>
          <w:i w:val="1"/>
          <w:sz w:val="34"/>
          <w:szCs w:val="34"/>
          <w:rtl w:val="0"/>
        </w:rPr>
        <w:t xml:space="preserve">Gymnema sylvestre</w:t>
      </w:r>
    </w:p>
    <w:p w:rsidR="00000000" w:rsidDel="00000000" w:rsidP="00000000" w:rsidRDefault="00000000" w:rsidRPr="00000000" w14:paraId="0000001E">
      <w:pPr>
        <w:spacing w:after="240" w:before="240" w:lineRule="auto"/>
        <w:rPr/>
      </w:pPr>
      <w:r w:rsidDel="00000000" w:rsidR="00000000" w:rsidRPr="00000000">
        <w:rPr>
          <w:i w:val="1"/>
          <w:rtl w:val="0"/>
        </w:rPr>
        <w:t xml:space="preserve">Gymnema sylvestre</w:t>
      </w:r>
      <w:r w:rsidDel="00000000" w:rsidR="00000000" w:rsidRPr="00000000">
        <w:rPr>
          <w:rtl w:val="0"/>
        </w:rPr>
        <w:t xml:space="preserve"> is a woody climbing shrub native to India, Africa, and Australia, used in Ayurvedic medicine for centuries to treat ailments including diabetes. Known as </w:t>
      </w:r>
      <w:r w:rsidDel="00000000" w:rsidR="00000000" w:rsidRPr="00000000">
        <w:rPr>
          <w:b w:val="1"/>
          <w:rtl w:val="0"/>
        </w:rPr>
        <w:t xml:space="preserve">gurmar</w:t>
      </w:r>
      <w:r w:rsidDel="00000000" w:rsidR="00000000" w:rsidRPr="00000000">
        <w:rPr>
          <w:rtl w:val="0"/>
        </w:rPr>
        <w:t xml:space="preserve"> (“destroyer of sugar”), it has attracted research interest for its potential antidiabetic properties.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g2a68rhid46" w:id="7"/>
      <w:bookmarkEnd w:id="7"/>
      <w:r w:rsidDel="00000000" w:rsidR="00000000" w:rsidRPr="00000000">
        <w:rPr>
          <w:b w:val="1"/>
          <w:color w:val="000000"/>
          <w:sz w:val="26"/>
          <w:szCs w:val="26"/>
          <w:rtl w:val="0"/>
        </w:rPr>
        <w:t xml:space="preserve">Documented Health Benefits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Reduces Sugar Cravings</w:t>
      </w:r>
      <w:r w:rsidDel="00000000" w:rsidR="00000000" w:rsidRPr="00000000">
        <w:rPr>
          <w:rtl w:val="0"/>
        </w:rPr>
        <w:t xml:space="preserve"> – Gymnemic acid blocks taste receptors, reducing the appeal of sweet foods.</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Lowers Blood Sugar Levels</w:t>
      </w:r>
      <w:r w:rsidDel="00000000" w:rsidR="00000000" w:rsidRPr="00000000">
        <w:rPr>
          <w:rtl w:val="0"/>
        </w:rPr>
        <w:t xml:space="preserve"> – May inhibit intestinal absorption of glucose and reduce post-meal spikes.</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Supports Insulin Production</w:t>
      </w:r>
      <w:r w:rsidDel="00000000" w:rsidR="00000000" w:rsidRPr="00000000">
        <w:rPr>
          <w:rtl w:val="0"/>
        </w:rPr>
        <w:t xml:space="preserve"> – Promotes pancreatic regeneration of insulin-producing cells and may enhance insulin secretion.</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Improves Cholesterol &amp; Triglyceride Levels</w:t>
      </w:r>
      <w:r w:rsidDel="00000000" w:rsidR="00000000" w:rsidRPr="00000000">
        <w:rPr>
          <w:rtl w:val="0"/>
        </w:rPr>
        <w:t xml:space="preserve"> – Reduces LDL cholesterol and triglycerides, while increasing HDL cholesterol, thereby lowering cardiovascular risk.</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Aids Weight Management</w:t>
      </w:r>
      <w:r w:rsidDel="00000000" w:rsidR="00000000" w:rsidRPr="00000000">
        <w:rPr>
          <w:rtl w:val="0"/>
        </w:rPr>
        <w:t xml:space="preserve"> – Suppresses appetite and calorie intake, contributing to weight loss.</w:t>
        <w:br w:type="textWrapping"/>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Reduces Inflammation</w:t>
      </w:r>
      <w:r w:rsidDel="00000000" w:rsidR="00000000" w:rsidRPr="00000000">
        <w:rPr>
          <w:rtl w:val="0"/>
        </w:rPr>
        <w:t xml:space="preserve"> – Contains tannins and saponins with anti-inflammatory and immunomodulatory effects.</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pj29f5h3ku1b" w:id="8"/>
      <w:bookmarkEnd w:id="8"/>
      <w:r w:rsidDel="00000000" w:rsidR="00000000" w:rsidRPr="00000000">
        <w:rPr>
          <w:b w:val="1"/>
          <w:color w:val="000000"/>
          <w:sz w:val="26"/>
          <w:szCs w:val="26"/>
          <w:rtl w:val="0"/>
        </w:rPr>
        <w:t xml:space="preserve">Safety and Side Effects</w:t>
      </w:r>
    </w:p>
    <w:p w:rsidR="00000000" w:rsidDel="00000000" w:rsidP="00000000" w:rsidRDefault="00000000" w:rsidRPr="00000000" w14:paraId="00000027">
      <w:pPr>
        <w:numPr>
          <w:ilvl w:val="0"/>
          <w:numId w:val="13"/>
        </w:numPr>
        <w:spacing w:after="0" w:afterAutospacing="0" w:before="240" w:lineRule="auto"/>
        <w:ind w:left="720" w:hanging="360"/>
      </w:pPr>
      <w:r w:rsidDel="00000000" w:rsidR="00000000" w:rsidRPr="00000000">
        <w:rPr>
          <w:rtl w:val="0"/>
        </w:rPr>
        <w:t xml:space="preserve">Generally considered safe for most adults.</w:t>
        <w:br w:type="textWrapping"/>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rtl w:val="0"/>
        </w:rPr>
        <w:t xml:space="preserve">Not recommended for children, pregnant, or breastfeeding women.</w:t>
        <w:br w:type="textWrapping"/>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rtl w:val="0"/>
        </w:rPr>
        <w:t xml:space="preserve">Potential interactions with diabetes medications may cause hypoglycemia (symptoms: dizziness, nausea, shakiness).</w:t>
        <w:br w:type="textWrapping"/>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rtl w:val="0"/>
        </w:rPr>
        <w:t xml:space="preserve">Should not be combined with aspirin, St. John’s Wort, or in individuals allergic to milkweed.</w:t>
        <w:br w:type="textWrapping"/>
      </w:r>
    </w:p>
    <w:p w:rsidR="00000000" w:rsidDel="00000000" w:rsidP="00000000" w:rsidRDefault="00000000" w:rsidRPr="00000000" w14:paraId="0000002B">
      <w:pPr>
        <w:numPr>
          <w:ilvl w:val="0"/>
          <w:numId w:val="13"/>
        </w:numPr>
        <w:spacing w:after="240" w:before="0" w:beforeAutospacing="0" w:lineRule="auto"/>
        <w:ind w:left="720" w:hanging="360"/>
      </w:pPr>
      <w:r w:rsidDel="00000000" w:rsidR="00000000" w:rsidRPr="00000000">
        <w:rPr>
          <w:rtl w:val="0"/>
        </w:rPr>
        <w:t xml:space="preserve">Medical supervision is essential when integrating with prescribed treatments.</w:t>
        <w:br w:type="textWrapping"/>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qqx3p3lyw8nc" w:id="9"/>
      <w:bookmarkEnd w:id="9"/>
      <w:r w:rsidDel="00000000" w:rsidR="00000000" w:rsidRPr="00000000">
        <w:rPr>
          <w:b w:val="1"/>
          <w:sz w:val="34"/>
          <w:szCs w:val="34"/>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Diabetes remains a widespread chronic disease with serious complications if untreated. While conventional management involves lifestyle modifications, oral hypoglycemics, and insulin therapy, complementary herbal options such as </w:t>
      </w:r>
      <w:r w:rsidDel="00000000" w:rsidR="00000000" w:rsidRPr="00000000">
        <w:rPr>
          <w:i w:val="1"/>
          <w:rtl w:val="0"/>
        </w:rPr>
        <w:t xml:space="preserve">Gymnema sylvestre</w:t>
      </w:r>
      <w:r w:rsidDel="00000000" w:rsidR="00000000" w:rsidRPr="00000000">
        <w:rPr>
          <w:rtl w:val="0"/>
        </w:rPr>
        <w:t xml:space="preserve"> show promise in reducing blood sugar levels, curbing sugar cravings, improving lipid profiles, and supporting overall metabolic health. However, </w:t>
      </w:r>
      <w:r w:rsidDel="00000000" w:rsidR="00000000" w:rsidRPr="00000000">
        <w:rPr>
          <w:i w:val="1"/>
          <w:rtl w:val="0"/>
        </w:rPr>
        <w:t xml:space="preserve">Gymnema sylvestre</w:t>
      </w:r>
      <w:r w:rsidDel="00000000" w:rsidR="00000000" w:rsidRPr="00000000">
        <w:rPr>
          <w:rtl w:val="0"/>
        </w:rPr>
        <w:t xml:space="preserve"> should not replace prescribed medications, and its use must be carefully monitored under medical guidance.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Would you like me to format this further into a </w:t>
      </w:r>
      <w:r w:rsidDel="00000000" w:rsidR="00000000" w:rsidRPr="00000000">
        <w:rPr>
          <w:b w:val="1"/>
          <w:rtl w:val="0"/>
        </w:rPr>
        <w:t xml:space="preserve">formal academic style</w:t>
      </w:r>
      <w:r w:rsidDel="00000000" w:rsidR="00000000" w:rsidRPr="00000000">
        <w:rPr>
          <w:rtl w:val="0"/>
        </w:rPr>
        <w:t xml:space="preserve"> (with headings like </w:t>
      </w:r>
      <w:r w:rsidDel="00000000" w:rsidR="00000000" w:rsidRPr="00000000">
        <w:rPr>
          <w:i w:val="1"/>
          <w:rtl w:val="0"/>
        </w:rPr>
        <w:t xml:space="preserve">Abstract, Methodology, Results, Discussion, Conclusion</w:t>
      </w:r>
      <w:r w:rsidDel="00000000" w:rsidR="00000000" w:rsidRPr="00000000">
        <w:rPr>
          <w:rtl w:val="0"/>
        </w:rPr>
        <w:t xml:space="preserve">) or keep it in this </w:t>
      </w:r>
      <w:r w:rsidDel="00000000" w:rsidR="00000000" w:rsidRPr="00000000">
        <w:rPr>
          <w:b w:val="1"/>
          <w:rtl w:val="0"/>
        </w:rPr>
        <w:t xml:space="preserve">applied research report format</w:t>
      </w:r>
      <w:r w:rsidDel="00000000" w:rsidR="00000000" w:rsidRPr="00000000">
        <w:rPr>
          <w:rtl w:val="0"/>
        </w:rPr>
        <w:t xml:space="preserve"> that blends medical and herbal perspectives?</w:t>
      </w:r>
    </w:p>
    <w:p w:rsidR="00000000" w:rsidDel="00000000" w:rsidP="00000000" w:rsidRDefault="00000000" w:rsidRPr="00000000" w14:paraId="00000030">
      <w:pPr>
        <w:rPr>
          <w:highlight w:val="red"/>
        </w:rPr>
      </w:pPr>
      <w:r w:rsidDel="00000000" w:rsidR="00000000" w:rsidRPr="00000000">
        <w:rPr>
          <w:highlight w:val="red"/>
          <w:rtl w:val="0"/>
        </w:rPr>
        <w:t xml:space="preserve">The Academic paper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Below is your document reformatted as a </w:t>
      </w:r>
      <w:r w:rsidDel="00000000" w:rsidR="00000000" w:rsidRPr="00000000">
        <w:rPr>
          <w:b w:val="1"/>
          <w:rtl w:val="0"/>
        </w:rPr>
        <w:t xml:space="preserve">formal academic research paper</w:t>
      </w:r>
      <w:r w:rsidDel="00000000" w:rsidR="00000000" w:rsidRPr="00000000">
        <w:rPr>
          <w:rtl w:val="0"/>
        </w:rPr>
        <w:t xml:space="preserve">, now with </w:t>
      </w:r>
      <w:r w:rsidDel="00000000" w:rsidR="00000000" w:rsidRPr="00000000">
        <w:rPr>
          <w:b w:val="1"/>
          <w:rtl w:val="0"/>
        </w:rPr>
        <w:t xml:space="preserve">APA-style references</w:t>
      </w:r>
      <w:r w:rsidDel="00000000" w:rsidR="00000000" w:rsidRPr="00000000">
        <w:rPr>
          <w:rtl w:val="0"/>
        </w:rPr>
        <w:t xml:space="preserve"> based on available scientific literature.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nsz0l5refy5p" w:id="10"/>
      <w:bookmarkEnd w:id="10"/>
      <w:r w:rsidDel="00000000" w:rsidR="00000000" w:rsidRPr="00000000">
        <w:rPr>
          <w:b w:val="1"/>
          <w:sz w:val="46"/>
          <w:szCs w:val="46"/>
          <w:rtl w:val="0"/>
        </w:rPr>
        <w:t xml:space="preserve">The Role of </w:t>
      </w:r>
      <w:r w:rsidDel="00000000" w:rsidR="00000000" w:rsidRPr="00000000">
        <w:rPr>
          <w:b w:val="1"/>
          <w:i w:val="1"/>
          <w:sz w:val="46"/>
          <w:szCs w:val="46"/>
          <w:rtl w:val="0"/>
        </w:rPr>
        <w:t xml:space="preserve">Gymnema sylvestre</w:t>
      </w:r>
      <w:r w:rsidDel="00000000" w:rsidR="00000000" w:rsidRPr="00000000">
        <w:rPr>
          <w:b w:val="1"/>
          <w:sz w:val="46"/>
          <w:szCs w:val="46"/>
          <w:rtl w:val="0"/>
        </w:rPr>
        <w:t xml:space="preserve"> in the Management of Diabetes Mellitus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1vnknspyimeo" w:id="11"/>
      <w:bookmarkEnd w:id="11"/>
      <w:r w:rsidDel="00000000" w:rsidR="00000000" w:rsidRPr="00000000">
        <w:rPr>
          <w:b w:val="1"/>
          <w:sz w:val="34"/>
          <w:szCs w:val="34"/>
          <w:rtl w:val="0"/>
        </w:rPr>
        <w:t xml:space="preserve">Abstract</w:t>
      </w:r>
    </w:p>
    <w:p w:rsidR="00000000" w:rsidDel="00000000" w:rsidP="00000000" w:rsidRDefault="00000000" w:rsidRPr="00000000" w14:paraId="00000036">
      <w:pPr>
        <w:spacing w:after="240" w:before="240" w:lineRule="auto"/>
        <w:rPr/>
      </w:pPr>
      <w:r w:rsidDel="00000000" w:rsidR="00000000" w:rsidRPr="00000000">
        <w:rPr>
          <w:rtl w:val="0"/>
        </w:rPr>
        <w:t xml:space="preserve">Diabetes mellitus is a chronic metabolic disorder characterized by persistent hyperglycemia resulting from impaired insulin production or utilization. If uncontrolled, it leads to serious complications, including cardiovascular disease, nephropathy, retinopathy, and neuropathy. Conventional management includes lifestyle interventions, oral hypoglycemics, and insulin therapy. More recently, </w:t>
      </w:r>
      <w:r w:rsidDel="00000000" w:rsidR="00000000" w:rsidRPr="00000000">
        <w:rPr>
          <w:i w:val="1"/>
          <w:rtl w:val="0"/>
        </w:rPr>
        <w:t xml:space="preserve">Gymnema sylvestre</w:t>
      </w:r>
      <w:r w:rsidDel="00000000" w:rsidR="00000000" w:rsidRPr="00000000">
        <w:rPr>
          <w:rtl w:val="0"/>
        </w:rPr>
        <w:t xml:space="preserve">—a plant rooted in Ayurvedic tradition—has been studied for its potential antidiabetic properties. This paper reviews the pathophysiological basis of diabetes and examines the mechanisms, clinical evidence, and safety of </w:t>
      </w:r>
      <w:r w:rsidDel="00000000" w:rsidR="00000000" w:rsidRPr="00000000">
        <w:rPr>
          <w:i w:val="1"/>
          <w:rtl w:val="0"/>
        </w:rPr>
        <w:t xml:space="preserve">Gymnema sylvestre</w:t>
      </w:r>
      <w:r w:rsidDel="00000000" w:rsidR="00000000" w:rsidRPr="00000000">
        <w:rPr>
          <w:rtl w:val="0"/>
        </w:rPr>
        <w:t xml:space="preserve"> as a complementary treatment.</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h9xkohiu7xss" w:id="12"/>
      <w:bookmarkEnd w:id="12"/>
      <w:r w:rsidDel="00000000" w:rsidR="00000000" w:rsidRPr="00000000">
        <w:rPr>
          <w:b w:val="1"/>
          <w:sz w:val="34"/>
          <w:szCs w:val="34"/>
          <w:rtl w:val="0"/>
        </w:rPr>
        <w:t xml:space="preserve">Introduction</w:t>
      </w:r>
    </w:p>
    <w:p w:rsidR="00000000" w:rsidDel="00000000" w:rsidP="00000000" w:rsidRDefault="00000000" w:rsidRPr="00000000" w14:paraId="00000038">
      <w:pPr>
        <w:spacing w:after="240" w:before="240" w:lineRule="auto"/>
        <w:rPr/>
      </w:pPr>
      <w:r w:rsidDel="00000000" w:rsidR="00000000" w:rsidRPr="00000000">
        <w:rPr>
          <w:rtl w:val="0"/>
        </w:rPr>
        <w:t xml:space="preserve">Diabetes mellitus affects millions globally and continues to rise in prevalence. It stems from imbalances in glucose metabolism and insulin dynamics. While conventional therapies remain foundational, complementary interventions such as herbal remedies are drawing increased attention. </w:t>
      </w:r>
      <w:r w:rsidDel="00000000" w:rsidR="00000000" w:rsidRPr="00000000">
        <w:rPr>
          <w:i w:val="1"/>
          <w:rtl w:val="0"/>
        </w:rPr>
        <w:t xml:space="preserve">Gymnema sylvestre</w:t>
      </w:r>
      <w:r w:rsidDel="00000000" w:rsidR="00000000" w:rsidRPr="00000000">
        <w:rPr>
          <w:rtl w:val="0"/>
        </w:rPr>
        <w:t xml:space="preserve">, known as "gurmar" (“sugar destroyer”), has been traditionally used in Ayurvedic medicine for metabolic and glucose-related ailments.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87133v7y1wn" w:id="13"/>
      <w:bookmarkEnd w:id="13"/>
      <w:r w:rsidDel="00000000" w:rsidR="00000000" w:rsidRPr="00000000">
        <w:rPr>
          <w:b w:val="1"/>
          <w:sz w:val="34"/>
          <w:szCs w:val="34"/>
          <w:rtl w:val="0"/>
        </w:rPr>
        <w:t xml:space="preserve">Pathophysiology of Diabetes</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Glucose as Fuel</w:t>
      </w:r>
      <w:r w:rsidDel="00000000" w:rsidR="00000000" w:rsidRPr="00000000">
        <w:rPr>
          <w:rtl w:val="0"/>
        </w:rPr>
        <w:t xml:space="preserve">: Glucose, derived from dietary carbohydrates, is the primary energy source.</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Insulin’s Role</w:t>
      </w:r>
      <w:r w:rsidDel="00000000" w:rsidR="00000000" w:rsidRPr="00000000">
        <w:rPr>
          <w:rtl w:val="0"/>
        </w:rPr>
        <w:t xml:space="preserve">: Insulin, secreted by the pancreas, mediates glucose uptake into cells.</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Types of Diabetes</w:t>
      </w:r>
      <w:r w:rsidDel="00000000" w:rsidR="00000000" w:rsidRPr="00000000">
        <w:rPr>
          <w:rtl w:val="0"/>
        </w:rPr>
        <w:t xml:space="preserve">:</w:t>
        <w:br w:type="textWrapping"/>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Type 1 Diabetes</w:t>
      </w:r>
      <w:r w:rsidDel="00000000" w:rsidR="00000000" w:rsidRPr="00000000">
        <w:rPr>
          <w:rtl w:val="0"/>
        </w:rPr>
        <w:t xml:space="preserve">: Autoimmune destruction of pancreatic beta cells, leading to insulin deficiency.</w:t>
        <w:br w:type="textWrapping"/>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Type 2 Diabetes</w:t>
      </w:r>
      <w:r w:rsidDel="00000000" w:rsidR="00000000" w:rsidRPr="00000000">
        <w:rPr>
          <w:rtl w:val="0"/>
        </w:rPr>
        <w:t xml:space="preserve">: Insulin resistance and/or defective insulin production, often linked to lifestyle factors.</w:t>
        <w:br w:type="textWrapping"/>
      </w:r>
    </w:p>
    <w:p w:rsidR="00000000" w:rsidDel="00000000" w:rsidP="00000000" w:rsidRDefault="00000000" w:rsidRPr="00000000" w14:paraId="0000003F">
      <w:pPr>
        <w:numPr>
          <w:ilvl w:val="1"/>
          <w:numId w:val="4"/>
        </w:numPr>
        <w:spacing w:after="240" w:before="0" w:beforeAutospacing="0" w:lineRule="auto"/>
        <w:ind w:left="1440" w:hanging="360"/>
      </w:pPr>
      <w:r w:rsidDel="00000000" w:rsidR="00000000" w:rsidRPr="00000000">
        <w:rPr>
          <w:b w:val="1"/>
          <w:rtl w:val="0"/>
        </w:rPr>
        <w:t xml:space="preserve">Gestational Diabetes</w:t>
      </w:r>
      <w:r w:rsidDel="00000000" w:rsidR="00000000" w:rsidRPr="00000000">
        <w:rPr>
          <w:rtl w:val="0"/>
        </w:rPr>
        <w:t xml:space="preserve">: Transient insulin resistance during pregnancy, posing risks to both mother and offspring.</w:t>
        <w:br w:type="textWrapping"/>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tojfesymk750" w:id="14"/>
      <w:bookmarkEnd w:id="14"/>
      <w:r w:rsidDel="00000000" w:rsidR="00000000" w:rsidRPr="00000000">
        <w:rPr>
          <w:b w:val="1"/>
          <w:sz w:val="34"/>
          <w:szCs w:val="34"/>
          <w:rtl w:val="0"/>
        </w:rPr>
        <w:t xml:space="preserve">Clinical Manifestations</w:t>
      </w:r>
    </w:p>
    <w:p w:rsidR="00000000" w:rsidDel="00000000" w:rsidP="00000000" w:rsidRDefault="00000000" w:rsidRPr="00000000" w14:paraId="00000041">
      <w:pPr>
        <w:spacing w:after="240" w:before="240" w:lineRule="auto"/>
        <w:rPr/>
      </w:pPr>
      <w:r w:rsidDel="00000000" w:rsidR="00000000" w:rsidRPr="00000000">
        <w:rPr>
          <w:rtl w:val="0"/>
        </w:rPr>
        <w:t xml:space="preserve">Key symptoms include polydipsia, polyuria, polyphagia, unexplained weight loss, fatigue, blurred vision, and peripheral neuropathy.</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ah9oika7i97" w:id="15"/>
      <w:bookmarkEnd w:id="15"/>
      <w:r w:rsidDel="00000000" w:rsidR="00000000" w:rsidRPr="00000000">
        <w:rPr>
          <w:b w:val="1"/>
          <w:sz w:val="34"/>
          <w:szCs w:val="34"/>
          <w:rtl w:val="0"/>
        </w:rPr>
        <w:t xml:space="preserve">Complications of Diabetes</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Cardiovascular disease</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b w:val="1"/>
          <w:rtl w:val="0"/>
        </w:rPr>
        <w:t xml:space="preserve">Nephropathy</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Retinopathy</w:t>
        <w:br w:type="textWrapping"/>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b w:val="1"/>
          <w:rtl w:val="0"/>
        </w:rPr>
        <w:t xml:space="preserve">Neuropathy</w:t>
        <w:br w:type="textWrapping"/>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b w:val="1"/>
          <w:rtl w:val="0"/>
        </w:rPr>
        <w:t xml:space="preserve">Foot complications</w:t>
      </w:r>
      <w:r w:rsidDel="00000000" w:rsidR="00000000" w:rsidRPr="00000000">
        <w:rPr>
          <w:rtl w:val="0"/>
        </w:rPr>
        <w:t xml:space="preserve">, including ulceration and amputation</w:t>
        <w:br w:type="textWrapping"/>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szpddpweym3n" w:id="16"/>
      <w:bookmarkEnd w:id="16"/>
      <w:r w:rsidDel="00000000" w:rsidR="00000000" w:rsidRPr="00000000">
        <w:rPr>
          <w:b w:val="1"/>
          <w:i w:val="1"/>
          <w:sz w:val="34"/>
          <w:szCs w:val="34"/>
          <w:rtl w:val="0"/>
        </w:rPr>
        <w:t xml:space="preserve">Gymnema sylvestre</w:t>
      </w:r>
      <w:r w:rsidDel="00000000" w:rsidR="00000000" w:rsidRPr="00000000">
        <w:rPr>
          <w:b w:val="1"/>
          <w:sz w:val="34"/>
          <w:szCs w:val="34"/>
          <w:rtl w:val="0"/>
        </w:rPr>
        <w:t xml:space="preserve">: A Potential Adjunct Therapy</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awoum4tre72" w:id="17"/>
      <w:bookmarkEnd w:id="17"/>
      <w:r w:rsidDel="00000000" w:rsidR="00000000" w:rsidRPr="00000000">
        <w:rPr>
          <w:b w:val="1"/>
          <w:color w:val="000000"/>
          <w:sz w:val="26"/>
          <w:szCs w:val="26"/>
          <w:rtl w:val="0"/>
        </w:rPr>
        <w:t xml:space="preserve">Botanical Background</w:t>
      </w:r>
    </w:p>
    <w:p w:rsidR="00000000" w:rsidDel="00000000" w:rsidP="00000000" w:rsidRDefault="00000000" w:rsidRPr="00000000" w14:paraId="0000004A">
      <w:pPr>
        <w:spacing w:after="240" w:before="240" w:lineRule="auto"/>
        <w:rPr/>
      </w:pPr>
      <w:r w:rsidDel="00000000" w:rsidR="00000000" w:rsidRPr="00000000">
        <w:rPr>
          <w:i w:val="1"/>
          <w:rtl w:val="0"/>
        </w:rPr>
        <w:t xml:space="preserve">Gymnema sylvestre</w:t>
      </w:r>
      <w:r w:rsidDel="00000000" w:rsidR="00000000" w:rsidRPr="00000000">
        <w:rPr>
          <w:rtl w:val="0"/>
        </w:rPr>
        <w:t xml:space="preserve"> is a perennial woody vine native to Asia, Africa, and Australia. Its leaves are rich in gymnemic acids, triterpenoid compounds that suppress the perception of sweetness, making them a focal point in antidiabetic research (</w:t>
      </w:r>
      <w:hyperlink r:id="rId6">
        <w:r w:rsidDel="00000000" w:rsidR="00000000" w:rsidRPr="00000000">
          <w:rPr>
            <w:color w:val="1155cc"/>
            <w:u w:val="single"/>
            <w:rtl w:val="1"/>
          </w:rPr>
          <w:t xml:space="preserve">ויקיפדיה</w:t>
        </w:r>
      </w:hyperlink>
      <w:r w:rsidDel="00000000" w:rsidR="00000000" w:rsidRPr="00000000">
        <w:rPr>
          <w:rtl w:val="0"/>
        </w:rPr>
        <w:t xml:space="preserv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koatkwidd86j" w:id="18"/>
      <w:bookmarkEnd w:id="18"/>
      <w:r w:rsidDel="00000000" w:rsidR="00000000" w:rsidRPr="00000000">
        <w:rPr>
          <w:b w:val="1"/>
          <w:color w:val="000000"/>
          <w:sz w:val="26"/>
          <w:szCs w:val="26"/>
          <w:rtl w:val="0"/>
        </w:rPr>
        <w:t xml:space="preserve">Mechanisms of Action</w:t>
      </w:r>
    </w:p>
    <w:p w:rsidR="00000000" w:rsidDel="00000000" w:rsidP="00000000" w:rsidRDefault="00000000" w:rsidRPr="00000000" w14:paraId="0000004C">
      <w:pPr>
        <w:numPr>
          <w:ilvl w:val="0"/>
          <w:numId w:val="14"/>
        </w:numPr>
        <w:spacing w:after="0" w:afterAutospacing="0" w:before="240" w:lineRule="auto"/>
        <w:ind w:left="720" w:hanging="360"/>
      </w:pPr>
      <w:r w:rsidDel="00000000" w:rsidR="00000000" w:rsidRPr="00000000">
        <w:rPr>
          <w:b w:val="1"/>
          <w:rtl w:val="0"/>
        </w:rPr>
        <w:t xml:space="preserve">Reduction of Sugar Cravings</w:t>
      </w:r>
      <w:r w:rsidDel="00000000" w:rsidR="00000000" w:rsidRPr="00000000">
        <w:rPr>
          <w:rtl w:val="0"/>
        </w:rPr>
        <w:t xml:space="preserve">: Gymnemic acids bind taste receptors, diminishing sweetness perception and reducing sugar intake (</w:t>
      </w:r>
      <w:hyperlink r:id="rId7">
        <w:r w:rsidDel="00000000" w:rsidR="00000000" w:rsidRPr="00000000">
          <w:rPr>
            <w:color w:val="1155cc"/>
            <w:u w:val="single"/>
            <w:rtl w:val="0"/>
          </w:rPr>
          <w:t xml:space="preserve">PMC</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Verywell Health</w:t>
        </w:r>
      </w:hyperlink>
      <w:r w:rsidDel="00000000" w:rsidR="00000000" w:rsidRPr="00000000">
        <w:rPr>
          <w:rtl w:val="0"/>
        </w:rPr>
        <w:t xml:space="preserve">).</w:t>
        <w:br w:type="textWrapping"/>
      </w:r>
    </w:p>
    <w:p w:rsidR="00000000" w:rsidDel="00000000" w:rsidP="00000000" w:rsidRDefault="00000000" w:rsidRPr="00000000" w14:paraId="0000004D">
      <w:pPr>
        <w:numPr>
          <w:ilvl w:val="0"/>
          <w:numId w:val="14"/>
        </w:numPr>
        <w:spacing w:after="0" w:afterAutospacing="0" w:before="0" w:beforeAutospacing="0" w:lineRule="auto"/>
        <w:ind w:left="720" w:hanging="360"/>
      </w:pPr>
      <w:r w:rsidDel="00000000" w:rsidR="00000000" w:rsidRPr="00000000">
        <w:rPr>
          <w:b w:val="1"/>
          <w:rtl w:val="0"/>
        </w:rPr>
        <w:t xml:space="preserve">Inhibition of Glucose Absorption</w:t>
      </w:r>
      <w:r w:rsidDel="00000000" w:rsidR="00000000" w:rsidRPr="00000000">
        <w:rPr>
          <w:rtl w:val="0"/>
        </w:rPr>
        <w:t xml:space="preserve">: Gymnema compounds interact with intestinal receptors, lowering glucose absorption and postprandial glycemic spikes (</w:t>
      </w:r>
      <w:hyperlink r:id="rId10">
        <w:r w:rsidDel="00000000" w:rsidR="00000000" w:rsidRPr="00000000">
          <w:rPr>
            <w:color w:val="1155cc"/>
            <w:u w:val="single"/>
            <w:rtl w:val="0"/>
          </w:rPr>
          <w:t xml:space="preserve">PMC</w:t>
        </w:r>
      </w:hyperlink>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1"/>
          </w:rPr>
          <w:t xml:space="preserve">ויקיפדיה</w:t>
        </w:r>
      </w:hyperlink>
      <w:r w:rsidDel="00000000" w:rsidR="00000000" w:rsidRPr="00000000">
        <w:rPr>
          <w:rtl w:val="0"/>
        </w:rPr>
        <w:t xml:space="preserve">).</w:t>
        <w:br w:type="textWrapping"/>
      </w:r>
    </w:p>
    <w:p w:rsidR="00000000" w:rsidDel="00000000" w:rsidP="00000000" w:rsidRDefault="00000000" w:rsidRPr="00000000" w14:paraId="0000004E">
      <w:pPr>
        <w:numPr>
          <w:ilvl w:val="0"/>
          <w:numId w:val="14"/>
        </w:numPr>
        <w:spacing w:after="0" w:afterAutospacing="0" w:before="0" w:beforeAutospacing="0" w:lineRule="auto"/>
        <w:ind w:left="720" w:hanging="360"/>
      </w:pPr>
      <w:r w:rsidDel="00000000" w:rsidR="00000000" w:rsidRPr="00000000">
        <w:rPr>
          <w:b w:val="1"/>
          <w:rtl w:val="0"/>
        </w:rPr>
        <w:t xml:space="preserve">Enhanced Insulin Secretion &amp; Beta-Cell Regeneration</w:t>
      </w:r>
      <w:r w:rsidDel="00000000" w:rsidR="00000000" w:rsidRPr="00000000">
        <w:rPr>
          <w:rtl w:val="0"/>
        </w:rPr>
        <w:t xml:space="preserve">: Experimental data suggest stimulation of pancreatic insulin secretion and possible regeneration of islet cells (</w:t>
      </w:r>
      <w:hyperlink r:id="rId13">
        <w:r w:rsidDel="00000000" w:rsidR="00000000" w:rsidRPr="00000000">
          <w:rPr>
            <w:color w:val="1155cc"/>
            <w:u w:val="single"/>
            <w:rtl w:val="0"/>
          </w:rPr>
          <w:t xml:space="preserve">PMC</w:t>
        </w:r>
      </w:hyperlink>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Mattioli 1885</w:t>
        </w:r>
      </w:hyperlink>
      <w:r w:rsidDel="00000000" w:rsidR="00000000" w:rsidRPr="00000000">
        <w:rPr>
          <w:rtl w:val="0"/>
        </w:rPr>
        <w:t xml:space="preserve">).</w:t>
        <w:br w:type="textWrapping"/>
      </w:r>
    </w:p>
    <w:p w:rsidR="00000000" w:rsidDel="00000000" w:rsidP="00000000" w:rsidRDefault="00000000" w:rsidRPr="00000000" w14:paraId="0000004F">
      <w:pPr>
        <w:numPr>
          <w:ilvl w:val="0"/>
          <w:numId w:val="14"/>
        </w:numPr>
        <w:spacing w:after="0" w:afterAutospacing="0" w:before="0" w:beforeAutospacing="0" w:lineRule="auto"/>
        <w:ind w:left="720" w:hanging="360"/>
      </w:pPr>
      <w:r w:rsidDel="00000000" w:rsidR="00000000" w:rsidRPr="00000000">
        <w:rPr>
          <w:b w:val="1"/>
          <w:rtl w:val="0"/>
        </w:rPr>
        <w:t xml:space="preserve">Improvement in Lipid Profile</w:t>
      </w:r>
      <w:r w:rsidDel="00000000" w:rsidR="00000000" w:rsidRPr="00000000">
        <w:rPr>
          <w:rtl w:val="0"/>
        </w:rPr>
        <w:t xml:space="preserve">: Supplementation has been associated with reductions in total cholesterol, LDL, and triglycerides (</w:t>
      </w:r>
      <w:hyperlink r:id="rId16">
        <w:r w:rsidDel="00000000" w:rsidR="00000000" w:rsidRPr="00000000">
          <w:rPr>
            <w:color w:val="1155cc"/>
            <w:u w:val="single"/>
            <w:rtl w:val="0"/>
          </w:rPr>
          <w:t xml:space="preserve">PubMed</w:t>
        </w:r>
      </w:hyperlink>
      <w:r w:rsidDel="00000000" w:rsidR="00000000" w:rsidRPr="00000000">
        <w:rPr>
          <w:rtl w:val="0"/>
        </w:rPr>
        <w:t xml:space="preserve">).</w:t>
        <w:br w:type="textWrapping"/>
      </w:r>
    </w:p>
    <w:p w:rsidR="00000000" w:rsidDel="00000000" w:rsidP="00000000" w:rsidRDefault="00000000" w:rsidRPr="00000000" w14:paraId="00000050">
      <w:pPr>
        <w:numPr>
          <w:ilvl w:val="0"/>
          <w:numId w:val="14"/>
        </w:numPr>
        <w:spacing w:after="0" w:afterAutospacing="0" w:before="0" w:beforeAutospacing="0" w:lineRule="auto"/>
        <w:ind w:left="720" w:hanging="360"/>
      </w:pPr>
      <w:r w:rsidDel="00000000" w:rsidR="00000000" w:rsidRPr="00000000">
        <w:rPr>
          <w:b w:val="1"/>
          <w:rtl w:val="0"/>
        </w:rPr>
        <w:t xml:space="preserve">Weight Management</w:t>
      </w:r>
      <w:r w:rsidDel="00000000" w:rsidR="00000000" w:rsidRPr="00000000">
        <w:rPr>
          <w:rtl w:val="0"/>
        </w:rPr>
        <w:t xml:space="preserve">: Studies report decreases in body weight and BMI, potentially driven by appetite suppression and caloric reduction (</w:t>
      </w:r>
      <w:hyperlink r:id="rId17">
        <w:r w:rsidDel="00000000" w:rsidR="00000000" w:rsidRPr="00000000">
          <w:rPr>
            <w:color w:val="1155cc"/>
            <w:u w:val="single"/>
            <w:rtl w:val="0"/>
          </w:rPr>
          <w:t xml:space="preserve">Verywell Health</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Frontiers</w:t>
        </w:r>
      </w:hyperlink>
      <w:r w:rsidDel="00000000" w:rsidR="00000000" w:rsidRPr="00000000">
        <w:rPr>
          <w:rtl w:val="0"/>
        </w:rPr>
        <w:t xml:space="preserve">).</w:t>
        <w:br w:type="textWrapping"/>
      </w:r>
    </w:p>
    <w:p w:rsidR="00000000" w:rsidDel="00000000" w:rsidP="00000000" w:rsidRDefault="00000000" w:rsidRPr="00000000" w14:paraId="00000051">
      <w:pPr>
        <w:numPr>
          <w:ilvl w:val="0"/>
          <w:numId w:val="14"/>
        </w:numPr>
        <w:spacing w:after="240" w:before="0" w:beforeAutospacing="0" w:lineRule="auto"/>
        <w:ind w:left="720" w:hanging="360"/>
      </w:pPr>
      <w:r w:rsidDel="00000000" w:rsidR="00000000" w:rsidRPr="00000000">
        <w:rPr>
          <w:b w:val="1"/>
          <w:rtl w:val="0"/>
        </w:rPr>
        <w:t xml:space="preserve">Anti-Inflammatory and Antioxidant Effects</w:t>
      </w:r>
      <w:r w:rsidDel="00000000" w:rsidR="00000000" w:rsidRPr="00000000">
        <w:rPr>
          <w:rtl w:val="0"/>
        </w:rPr>
        <w:t xml:space="preserve">: Contains tannins, saponins, and flavonoids with inflammatory and oxidative stress–modulating properties (</w:t>
      </w:r>
      <w:hyperlink r:id="rId20">
        <w:r w:rsidDel="00000000" w:rsidR="00000000" w:rsidRPr="00000000">
          <w:rPr>
            <w:color w:val="1155cc"/>
            <w:u w:val="single"/>
            <w:rtl w:val="0"/>
          </w:rPr>
          <w:t xml:space="preserve">Verywell Health</w:t>
        </w:r>
      </w:hyperlink>
      <w:r w:rsidDel="00000000" w:rsidR="00000000" w:rsidRPr="00000000">
        <w:rPr>
          <w:rtl w:val="0"/>
        </w:rPr>
        <w:t xml:space="preserv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Mattioli 1885</w:t>
        </w:r>
      </w:hyperlink>
      <w:r w:rsidDel="00000000" w:rsidR="00000000" w:rsidRPr="00000000">
        <w:rPr>
          <w:rtl w:val="0"/>
        </w:rPr>
        <w:t xml:space="preserve">).</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q905yjyo2ei6" w:id="19"/>
      <w:bookmarkEnd w:id="19"/>
      <w:r w:rsidDel="00000000" w:rsidR="00000000" w:rsidRPr="00000000">
        <w:rPr>
          <w:b w:val="1"/>
          <w:color w:val="000000"/>
          <w:sz w:val="26"/>
          <w:szCs w:val="26"/>
          <w:rtl w:val="0"/>
        </w:rPr>
        <w:t xml:space="preserve">Clinical Evidence</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ytol1g2cur9i" w:id="20"/>
      <w:bookmarkEnd w:id="20"/>
      <w:r w:rsidDel="00000000" w:rsidR="00000000" w:rsidRPr="00000000">
        <w:rPr>
          <w:b w:val="1"/>
          <w:color w:val="000000"/>
          <w:sz w:val="22"/>
          <w:szCs w:val="22"/>
          <w:rtl w:val="0"/>
        </w:rPr>
        <w:t xml:space="preserve">Meta-Analyses &amp; Systematic Reviews</w:t>
      </w:r>
    </w:p>
    <w:p w:rsidR="00000000" w:rsidDel="00000000" w:rsidP="00000000" w:rsidRDefault="00000000" w:rsidRPr="00000000" w14:paraId="00000054">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A 2021 systematic review and meta-analysis of 10 studies (n ≈ 419) found that </w:t>
      </w:r>
      <w:r w:rsidDel="00000000" w:rsidR="00000000" w:rsidRPr="00000000">
        <w:rPr>
          <w:i w:val="1"/>
          <w:rtl w:val="0"/>
        </w:rPr>
        <w:t xml:space="preserve">Gymnema sylvestre</w:t>
      </w:r>
      <w:r w:rsidDel="00000000" w:rsidR="00000000" w:rsidRPr="00000000">
        <w:rPr>
          <w:rtl w:val="0"/>
        </w:rPr>
        <w:t xml:space="preserve"> significantly reduced fasting blood glucose, postprandial glucose, HbA1c, triglycerides, and total cholesterol in type 2 diabetic patients (</w:t>
      </w:r>
      <w:hyperlink r:id="rId23">
        <w:r w:rsidDel="00000000" w:rsidR="00000000" w:rsidRPr="00000000">
          <w:rPr>
            <w:color w:val="1155cc"/>
            <w:u w:val="single"/>
            <w:rtl w:val="0"/>
          </w:rPr>
          <w:t xml:space="preserve">PubMed</w:t>
        </w:r>
      </w:hyperlink>
      <w:r w:rsidDel="00000000" w:rsidR="00000000" w:rsidRPr="00000000">
        <w:rPr>
          <w:rtl w:val="0"/>
        </w:rPr>
        <w:t xml:space="preserve">).</w:t>
        <w:br w:type="textWrapping"/>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ek5lxb2e83vj" w:id="21"/>
      <w:bookmarkEnd w:id="21"/>
      <w:r w:rsidDel="00000000" w:rsidR="00000000" w:rsidRPr="00000000">
        <w:rPr>
          <w:b w:val="1"/>
          <w:color w:val="000000"/>
          <w:sz w:val="22"/>
          <w:szCs w:val="22"/>
          <w:rtl w:val="0"/>
        </w:rPr>
        <w:t xml:space="preserve">Human Trials</w:t>
      </w:r>
    </w:p>
    <w:p w:rsidR="00000000" w:rsidDel="00000000" w:rsidP="00000000" w:rsidRDefault="00000000" w:rsidRPr="00000000" w14:paraId="00000056">
      <w:pPr>
        <w:numPr>
          <w:ilvl w:val="0"/>
          <w:numId w:val="11"/>
        </w:numPr>
        <w:spacing w:after="0" w:afterAutospacing="0" w:before="240" w:lineRule="auto"/>
        <w:ind w:left="720" w:hanging="360"/>
      </w:pPr>
      <w:r w:rsidDel="00000000" w:rsidR="00000000" w:rsidRPr="00000000">
        <w:rPr>
          <w:rtl w:val="0"/>
        </w:rPr>
        <w:t xml:space="preserve">In a randomized, three-month trial involving 200 individuals with type 2 diabetes, leaf powder supplementation (6 g/day) significantly lowered fasting blood glucose (from ~189.9 to ~157.8 mg/dL) and HbA1c (from ~8.65% to ~7.70%) compared to placebo (</w:t>
      </w:r>
      <w:hyperlink r:id="rId24">
        <w:r w:rsidDel="00000000" w:rsidR="00000000" w:rsidRPr="00000000">
          <w:rPr>
            <w:color w:val="1155cc"/>
            <w:u w:val="single"/>
            <w:rtl w:val="0"/>
          </w:rPr>
          <w:t xml:space="preserve">Impact Factor</w:t>
        </w:r>
      </w:hyperlink>
      <w:r w:rsidDel="00000000" w:rsidR="00000000" w:rsidRPr="00000000">
        <w:rPr>
          <w:rtl w:val="0"/>
        </w:rPr>
        <w:t xml:space="preserve">).</w:t>
        <w:br w:type="textWrapping"/>
      </w:r>
    </w:p>
    <w:p w:rsidR="00000000" w:rsidDel="00000000" w:rsidP="00000000" w:rsidRDefault="00000000" w:rsidRPr="00000000" w14:paraId="00000057">
      <w:pPr>
        <w:numPr>
          <w:ilvl w:val="0"/>
          <w:numId w:val="11"/>
        </w:numPr>
        <w:spacing w:after="240" w:before="0" w:beforeAutospacing="0" w:lineRule="auto"/>
        <w:ind w:left="720" w:hanging="360"/>
      </w:pPr>
      <w:r w:rsidDel="00000000" w:rsidR="00000000" w:rsidRPr="00000000">
        <w:rPr>
          <w:rtl w:val="0"/>
        </w:rPr>
        <w:t xml:space="preserve">Another study on 58 patients over 90 days found reductions in both fasting and postprandial glucose levels, triglycerides, and improved lipid profiles (</w:t>
      </w:r>
      <w:hyperlink r:id="rId25">
        <w:r w:rsidDel="00000000" w:rsidR="00000000" w:rsidRPr="00000000">
          <w:rPr>
            <w:color w:val="1155cc"/>
            <w:u w:val="single"/>
            <w:rtl w:val="0"/>
          </w:rPr>
          <w:t xml:space="preserve">Frontiers</w:t>
        </w:r>
      </w:hyperlink>
      <w:r w:rsidDel="00000000" w:rsidR="00000000" w:rsidRPr="00000000">
        <w:rPr>
          <w:rtl w:val="0"/>
        </w:rPr>
        <w:t xml:space="preserve">).</w:t>
        <w:br w:type="textWrapping"/>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2hhdpbeyra9s" w:id="22"/>
      <w:bookmarkEnd w:id="22"/>
      <w:r w:rsidDel="00000000" w:rsidR="00000000" w:rsidRPr="00000000">
        <w:rPr>
          <w:b w:val="1"/>
          <w:color w:val="000000"/>
          <w:sz w:val="22"/>
          <w:szCs w:val="22"/>
          <w:rtl w:val="0"/>
        </w:rPr>
        <w:t xml:space="preserve">Mechanistic &amp; Animal Studies</w:t>
      </w:r>
    </w:p>
    <w:p w:rsidR="00000000" w:rsidDel="00000000" w:rsidP="00000000" w:rsidRDefault="00000000" w:rsidRPr="00000000" w14:paraId="00000059">
      <w:pPr>
        <w:numPr>
          <w:ilvl w:val="0"/>
          <w:numId w:val="3"/>
        </w:numPr>
        <w:spacing w:after="240" w:before="240" w:lineRule="auto"/>
        <w:ind w:left="720" w:hanging="360"/>
      </w:pPr>
      <w:r w:rsidDel="00000000" w:rsidR="00000000" w:rsidRPr="00000000">
        <w:rPr>
          <w:rtl w:val="0"/>
        </w:rPr>
        <w:t xml:space="preserve">Animal and in vitro studies demonstrate improved insulin secretion, regeneration of pancreatic islets, and reduced glycemic parameters in diabetic models (</w:t>
      </w:r>
      <w:hyperlink r:id="rId26">
        <w:r w:rsidDel="00000000" w:rsidR="00000000" w:rsidRPr="00000000">
          <w:rPr>
            <w:color w:val="1155cc"/>
            <w:u w:val="single"/>
            <w:rtl w:val="0"/>
          </w:rPr>
          <w:t xml:space="preserve">Mattioli 1885</w:t>
        </w:r>
      </w:hyperlink>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Wiley Online Library</w:t>
        </w:r>
      </w:hyperlink>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MDPI</w:t>
        </w:r>
      </w:hyperlink>
      <w:r w:rsidDel="00000000" w:rsidR="00000000" w:rsidRPr="00000000">
        <w:rPr>
          <w:rtl w:val="0"/>
        </w:rPr>
        <w:t xml:space="preserve">).</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cor1ulhmlio" w:id="23"/>
      <w:bookmarkEnd w:id="23"/>
      <w:r w:rsidDel="00000000" w:rsidR="00000000" w:rsidRPr="00000000">
        <w:rPr>
          <w:b w:val="1"/>
          <w:color w:val="000000"/>
          <w:sz w:val="26"/>
          <w:szCs w:val="26"/>
          <w:rtl w:val="0"/>
        </w:rPr>
        <w:t xml:space="preserve">Safety and Limitations</w:t>
      </w:r>
    </w:p>
    <w:p w:rsidR="00000000" w:rsidDel="00000000" w:rsidP="00000000" w:rsidRDefault="00000000" w:rsidRPr="00000000" w14:paraId="0000005B">
      <w:pPr>
        <w:numPr>
          <w:ilvl w:val="0"/>
          <w:numId w:val="12"/>
        </w:numPr>
        <w:spacing w:after="0" w:afterAutospacing="0" w:before="240" w:lineRule="auto"/>
        <w:ind w:left="720" w:hanging="360"/>
      </w:pPr>
      <w:r w:rsidDel="00000000" w:rsidR="00000000" w:rsidRPr="00000000">
        <w:rPr>
          <w:rtl w:val="0"/>
        </w:rPr>
        <w:t xml:space="preserve">Trials suggest the herb is generally well tolerated; however, hypoglycemia may occur when combined with other glucose-lowering therapies (</w:t>
      </w:r>
      <w:hyperlink r:id="rId31">
        <w:r w:rsidDel="00000000" w:rsidR="00000000" w:rsidRPr="00000000">
          <w:rPr>
            <w:color w:val="1155cc"/>
            <w:u w:val="single"/>
            <w:rtl w:val="0"/>
          </w:rPr>
          <w:t xml:space="preserve">Verywell Health</w:t>
        </w:r>
      </w:hyperlink>
      <w:r w:rsidDel="00000000" w:rsidR="00000000" w:rsidRPr="00000000">
        <w:rPr>
          <w:rtl w:val="0"/>
        </w:rPr>
        <w:t xml:space="preserve">).</w:t>
        <w:br w:type="textWrapping"/>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rtl w:val="0"/>
        </w:rPr>
        <w:t xml:space="preserve">Some studies note methodological limitations in human trials, including small sample sizes and lack of rigorous design (</w:t>
      </w:r>
      <w:hyperlink r:id="rId32">
        <w:r w:rsidDel="00000000" w:rsidR="00000000" w:rsidRPr="00000000">
          <w:rPr>
            <w:color w:val="1155cc"/>
            <w:u w:val="single"/>
            <w:rtl w:val="1"/>
          </w:rPr>
          <w:t xml:space="preserve">קליניקיין</w:t>
        </w:r>
      </w:hyperlink>
      <w:r w:rsidDel="00000000" w:rsidR="00000000" w:rsidRPr="00000000">
        <w:rPr>
          <w:rtl w:val="0"/>
        </w:rPr>
        <w:t xml:space="preserve">).</w:t>
        <w:br w:type="textWrapping"/>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rtl w:val="0"/>
        </w:rPr>
        <w:t xml:space="preserve">Toxicology data suggest high safety margins, though rare adverse events like drug-induced liver injury have been documented (</w:t>
      </w:r>
      <w:hyperlink r:id="rId33">
        <w:r w:rsidDel="00000000" w:rsidR="00000000" w:rsidRPr="00000000">
          <w:rPr>
            <w:color w:val="1155cc"/>
            <w:u w:val="single"/>
            <w:rtl w:val="0"/>
          </w:rPr>
          <w:t xml:space="preserve">Frontiers</w:t>
        </w:r>
      </w:hyperlink>
      <w:r w:rsidDel="00000000" w:rsidR="00000000" w:rsidRPr="00000000">
        <w:rPr>
          <w:rtl w:val="0"/>
        </w:rPr>
        <w:t xml:space="preserv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Mattioli 1885</w:t>
        </w:r>
      </w:hyperlink>
      <w:r w:rsidDel="00000000" w:rsidR="00000000" w:rsidRPr="00000000">
        <w:rPr>
          <w:rtl w:val="0"/>
        </w:rPr>
        <w:t xml:space="preserve">).</w:t>
        <w:br w:type="textWrapping"/>
      </w:r>
    </w:p>
    <w:p w:rsidR="00000000" w:rsidDel="00000000" w:rsidP="00000000" w:rsidRDefault="00000000" w:rsidRPr="00000000" w14:paraId="0000005E">
      <w:pPr>
        <w:numPr>
          <w:ilvl w:val="0"/>
          <w:numId w:val="12"/>
        </w:numPr>
        <w:spacing w:after="240" w:before="0" w:beforeAutospacing="0" w:lineRule="auto"/>
        <w:ind w:left="720" w:hanging="360"/>
      </w:pPr>
      <w:r w:rsidDel="00000000" w:rsidR="00000000" w:rsidRPr="00000000">
        <w:rPr>
          <w:rtl w:val="0"/>
        </w:rPr>
        <w:t xml:space="preserve">Professional guidelines advise caution—in particular, avoid use in children, pregnant or breastfeeding women, and individuals with certain allergies or comorbidities (</w:t>
      </w:r>
      <w:hyperlink r:id="rId36">
        <w:r w:rsidDel="00000000" w:rsidR="00000000" w:rsidRPr="00000000">
          <w:rPr>
            <w:color w:val="1155cc"/>
            <w:u w:val="single"/>
            <w:rtl w:val="0"/>
          </w:rPr>
          <w:t xml:space="preserve">Verywell Health</w:t>
        </w:r>
      </w:hyperlink>
      <w:r w:rsidDel="00000000" w:rsidR="00000000" w:rsidRPr="00000000">
        <w:rPr>
          <w:rtl w:val="0"/>
        </w:rPr>
        <w:t xml:space="preserve">).</w:t>
        <w:br w:type="textWrapping"/>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24j1sv4je2ez" w:id="24"/>
      <w:bookmarkEnd w:id="24"/>
      <w:r w:rsidDel="00000000" w:rsidR="00000000" w:rsidRPr="00000000">
        <w:rPr>
          <w:b w:val="1"/>
          <w:sz w:val="34"/>
          <w:szCs w:val="34"/>
          <w:rtl w:val="0"/>
        </w:rPr>
        <w:t xml:space="preserve">Discussion</w:t>
      </w:r>
    </w:p>
    <w:p w:rsidR="00000000" w:rsidDel="00000000" w:rsidP="00000000" w:rsidRDefault="00000000" w:rsidRPr="00000000" w14:paraId="00000060">
      <w:pPr>
        <w:spacing w:after="240" w:before="240" w:lineRule="auto"/>
        <w:rPr/>
      </w:pPr>
      <w:r w:rsidDel="00000000" w:rsidR="00000000" w:rsidRPr="00000000">
        <w:rPr>
          <w:rtl w:val="0"/>
        </w:rPr>
        <w:t xml:space="preserve">The existing literature indicates that </w:t>
      </w:r>
      <w:r w:rsidDel="00000000" w:rsidR="00000000" w:rsidRPr="00000000">
        <w:rPr>
          <w:i w:val="1"/>
          <w:rtl w:val="0"/>
        </w:rPr>
        <w:t xml:space="preserve">Gymnema sylvestre</w:t>
      </w:r>
      <w:r w:rsidDel="00000000" w:rsidR="00000000" w:rsidRPr="00000000">
        <w:rPr>
          <w:rtl w:val="0"/>
        </w:rPr>
        <w:t xml:space="preserve"> may serve a beneficial role as an adjunct to standard diabetes management, rather than a standalone therapy. It exhibits multiple mechanisms that address glycemic control, lipid metabolism, weight management, and inflammation. However, more robust, large-scale randomized controlled trials are needed to confirm these effects and establish safe, standardized dosages.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f6v24943gyx3" w:id="25"/>
      <w:bookmarkEnd w:id="25"/>
      <w:r w:rsidDel="00000000" w:rsidR="00000000" w:rsidRPr="00000000">
        <w:rPr>
          <w:b w:val="1"/>
          <w:sz w:val="34"/>
          <w:szCs w:val="34"/>
          <w:rtl w:val="0"/>
        </w:rPr>
        <w:t xml:space="preserve">Conclusion</w:t>
      </w:r>
    </w:p>
    <w:p w:rsidR="00000000" w:rsidDel="00000000" w:rsidP="00000000" w:rsidRDefault="00000000" w:rsidRPr="00000000" w14:paraId="00000062">
      <w:pPr>
        <w:spacing w:after="240" w:before="240" w:lineRule="auto"/>
        <w:rPr/>
      </w:pPr>
      <w:r w:rsidDel="00000000" w:rsidR="00000000" w:rsidRPr="00000000">
        <w:rPr>
          <w:i w:val="1"/>
          <w:rtl w:val="0"/>
        </w:rPr>
        <w:t xml:space="preserve">Gymnema sylvestre</w:t>
      </w:r>
      <w:r w:rsidDel="00000000" w:rsidR="00000000" w:rsidRPr="00000000">
        <w:rPr>
          <w:rtl w:val="0"/>
        </w:rPr>
        <w:t xml:space="preserve"> offers promising complementary benefits for individuals managing type 2 diabetes by targeting multiple metabolic pathways. Nonetheless, its use requires medical supervision and should be integrated cautiously into personalized treatment plans. Further high-quality clinical research is essential to substantiate its therapeutic potential.</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7zxd2qcbg9gr" w:id="26"/>
      <w:bookmarkEnd w:id="26"/>
      <w:r w:rsidDel="00000000" w:rsidR="00000000" w:rsidRPr="00000000">
        <w:rPr>
          <w:b w:val="1"/>
          <w:sz w:val="34"/>
          <w:szCs w:val="34"/>
          <w:rtl w:val="0"/>
        </w:rPr>
        <w:t xml:space="preserve">References (APA Style)</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rtl w:val="0"/>
        </w:rPr>
        <w:t xml:space="preserve">Devangan, S., Varghese, B., Johny, E., Gurram, S., &amp; Adela, R. (2021). The effect of </w:t>
      </w:r>
      <w:r w:rsidDel="00000000" w:rsidR="00000000" w:rsidRPr="00000000">
        <w:rPr>
          <w:i w:val="1"/>
          <w:rtl w:val="0"/>
        </w:rPr>
        <w:t xml:space="preserve">Gymnema sylvestre</w:t>
      </w:r>
      <w:r w:rsidDel="00000000" w:rsidR="00000000" w:rsidRPr="00000000">
        <w:rPr>
          <w:rtl w:val="0"/>
        </w:rPr>
        <w:t xml:space="preserve"> supplementation on glycemic control in type 2 diabetes patients: A systematic review and meta-analysis. </w:t>
      </w:r>
      <w:r w:rsidDel="00000000" w:rsidR="00000000" w:rsidRPr="00000000">
        <w:rPr>
          <w:i w:val="1"/>
          <w:rtl w:val="0"/>
        </w:rPr>
        <w:t xml:space="preserve">Phytotherapy Research</w:t>
      </w:r>
      <w:r w:rsidDel="00000000" w:rsidR="00000000" w:rsidRPr="00000000">
        <w:rPr>
          <w:rtl w:val="0"/>
        </w:rPr>
        <w:t xml:space="preserve">, 35(12), 6802–6812. (</w:t>
      </w:r>
      <w:hyperlink r:id="rId37">
        <w:r w:rsidDel="00000000" w:rsidR="00000000" w:rsidRPr="00000000">
          <w:rPr>
            <w:color w:val="1155cc"/>
            <w:u w:val="single"/>
            <w:rtl w:val="0"/>
          </w:rPr>
          <w:t xml:space="preserve">PubMed</w:t>
        </w:r>
      </w:hyperlink>
      <w:r w:rsidDel="00000000" w:rsidR="00000000" w:rsidRPr="00000000">
        <w:rPr>
          <w:rtl w:val="0"/>
        </w:rPr>
        <w:t xml:space="preserve">)</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Paliwal, R., Kathori, S., &amp; Upadhyay, B. (2009). Effect of Gurmar (</w:t>
      </w:r>
      <w:r w:rsidDel="00000000" w:rsidR="00000000" w:rsidRPr="00000000">
        <w:rPr>
          <w:i w:val="1"/>
          <w:rtl w:val="0"/>
        </w:rPr>
        <w:t xml:space="preserve">Gymnema sylvestre</w:t>
      </w:r>
      <w:r w:rsidDel="00000000" w:rsidR="00000000" w:rsidRPr="00000000">
        <w:rPr>
          <w:rtl w:val="0"/>
        </w:rPr>
        <w:t xml:space="preserve">) powder intervention on the blood glucose levels among diabetics. </w:t>
      </w:r>
      <w:r w:rsidDel="00000000" w:rsidR="00000000" w:rsidRPr="00000000">
        <w:rPr>
          <w:i w:val="1"/>
          <w:rtl w:val="0"/>
        </w:rPr>
        <w:t xml:space="preserve">Studies in Ethno-Medicine</w:t>
      </w:r>
      <w:r w:rsidDel="00000000" w:rsidR="00000000" w:rsidRPr="00000000">
        <w:rPr>
          <w:rtl w:val="0"/>
        </w:rPr>
        <w:t xml:space="preserve">, 3(2), 133–135. (As cited in the summarized trial data) (</w:t>
      </w:r>
      <w:hyperlink r:id="rId38">
        <w:r w:rsidDel="00000000" w:rsidR="00000000" w:rsidRPr="00000000">
          <w:rPr>
            <w:color w:val="1155cc"/>
            <w:u w:val="single"/>
            <w:rtl w:val="0"/>
          </w:rPr>
          <w:t xml:space="preserve">Impact Factor</w:t>
        </w:r>
      </w:hyperlink>
      <w:r w:rsidDel="00000000" w:rsidR="00000000" w:rsidRPr="00000000">
        <w:rPr>
          <w:rtl w:val="0"/>
        </w:rPr>
        <w:t xml:space="preserve">)</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tl w:val="0"/>
        </w:rPr>
        <w:t xml:space="preserve">Kumar, S. N., Mani, U. V., &amp; Mani, I. (2010). Clinical study: </w:t>
      </w:r>
      <w:r w:rsidDel="00000000" w:rsidR="00000000" w:rsidRPr="00000000">
        <w:rPr>
          <w:i w:val="1"/>
          <w:rtl w:val="0"/>
        </w:rPr>
        <w:t xml:space="preserve">Gymnema sylvestre</w:t>
      </w:r>
      <w:r w:rsidDel="00000000" w:rsidR="00000000" w:rsidRPr="00000000">
        <w:rPr>
          <w:rtl w:val="0"/>
        </w:rPr>
        <w:t xml:space="preserve"> supplementation in type 2 diabetes. (Details cited within meta-analysis) (</w:t>
      </w:r>
      <w:hyperlink r:id="rId39">
        <w:r w:rsidDel="00000000" w:rsidR="00000000" w:rsidRPr="00000000">
          <w:rPr>
            <w:color w:val="1155cc"/>
            <w:u w:val="single"/>
            <w:rtl w:val="0"/>
          </w:rPr>
          <w:t xml:space="preserve">Frontiers</w:t>
        </w:r>
      </w:hyperlink>
      <w:r w:rsidDel="00000000" w:rsidR="00000000" w:rsidRPr="00000000">
        <w:rPr>
          <w:rtl w:val="0"/>
        </w:rPr>
        <w:t xml:space="preserve">)</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tl w:val="0"/>
        </w:rPr>
        <w:t xml:space="preserve">Shanmugasundaram, K. R., et al. (1990). </w:t>
      </w:r>
      <w:r w:rsidDel="00000000" w:rsidR="00000000" w:rsidRPr="00000000">
        <w:rPr>
          <w:i w:val="1"/>
          <w:rtl w:val="0"/>
        </w:rPr>
        <w:t xml:space="preserve">Gymnema sylvestre</w:t>
      </w:r>
      <w:r w:rsidDel="00000000" w:rsidR="00000000" w:rsidRPr="00000000">
        <w:rPr>
          <w:rtl w:val="0"/>
        </w:rPr>
        <w:t xml:space="preserve"> leaf extract in type 1 diabetes mellitus. (Multiple long-term studies referenced) (</w:t>
      </w:r>
      <w:hyperlink r:id="rId40">
        <w:r w:rsidDel="00000000" w:rsidR="00000000" w:rsidRPr="00000000">
          <w:rPr>
            <w:color w:val="1155cc"/>
            <w:u w:val="single"/>
            <w:rtl w:val="0"/>
          </w:rPr>
          <w:t xml:space="preserve">Frontiers</w:t>
        </w:r>
      </w:hyperlink>
      <w:r w:rsidDel="00000000" w:rsidR="00000000" w:rsidRPr="00000000">
        <w:rPr>
          <w:rtl w:val="0"/>
        </w:rPr>
        <w:t xml:space="preserve">)</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tl w:val="0"/>
        </w:rPr>
        <w:t xml:space="preserve">Natural Standard Research Collaboration. (2003). Systematic review of herbs and dietary supplements for glycemic control in diabetes. </w:t>
      </w:r>
      <w:r w:rsidDel="00000000" w:rsidR="00000000" w:rsidRPr="00000000">
        <w:rPr>
          <w:i w:val="1"/>
          <w:rtl w:val="0"/>
        </w:rPr>
        <w:t xml:space="preserve">Diabetes Care</w:t>
      </w:r>
      <w:r w:rsidDel="00000000" w:rsidR="00000000" w:rsidRPr="00000000">
        <w:rPr>
          <w:rtl w:val="0"/>
        </w:rPr>
        <w:t xml:space="preserve">. (Referenced regarding traditional use) (</w:t>
      </w:r>
      <w:hyperlink r:id="rId41">
        <w:r w:rsidDel="00000000" w:rsidR="00000000" w:rsidRPr="00000000">
          <w:rPr>
            <w:color w:val="1155cc"/>
            <w:u w:val="single"/>
            <w:rtl w:val="1"/>
          </w:rPr>
          <w:t xml:space="preserve">ויקיפדיה</w:t>
        </w:r>
      </w:hyperlink>
      <w:r w:rsidDel="00000000" w:rsidR="00000000" w:rsidRPr="00000000">
        <w:rPr>
          <w:rtl w:val="0"/>
        </w:rPr>
        <w:t xml:space="preserve">)</w:t>
        <w:br w:type="textWrapping"/>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rtl w:val="0"/>
        </w:rPr>
        <w:t xml:space="preserve">Shiyovich, A., et al. (2010). Case of drug-induced liver injury after </w:t>
      </w:r>
      <w:r w:rsidDel="00000000" w:rsidR="00000000" w:rsidRPr="00000000">
        <w:rPr>
          <w:i w:val="1"/>
          <w:rtl w:val="0"/>
        </w:rPr>
        <w:t xml:space="preserve">Gymnema sylvestre</w:t>
      </w:r>
      <w:r w:rsidDel="00000000" w:rsidR="00000000" w:rsidRPr="00000000">
        <w:rPr>
          <w:rtl w:val="0"/>
        </w:rPr>
        <w:t xml:space="preserve">. </w:t>
      </w:r>
      <w:r w:rsidDel="00000000" w:rsidR="00000000" w:rsidRPr="00000000">
        <w:rPr>
          <w:i w:val="1"/>
          <w:rtl w:val="0"/>
        </w:rPr>
        <w:t xml:space="preserve">Clinical report</w:t>
      </w:r>
      <w:r w:rsidDel="00000000" w:rsidR="00000000" w:rsidRPr="00000000">
        <w:rPr>
          <w:rtl w:val="0"/>
        </w:rPr>
        <w:t xml:space="preserve">. (</w:t>
      </w:r>
      <w:hyperlink r:id="rId42">
        <w:r w:rsidDel="00000000" w:rsidR="00000000" w:rsidRPr="00000000">
          <w:rPr>
            <w:color w:val="1155cc"/>
            <w:u w:val="single"/>
            <w:rtl w:val="0"/>
          </w:rPr>
          <w:t xml:space="preserve">Frontiers</w:t>
        </w:r>
      </w:hyperlink>
      <w:r w:rsidDel="00000000" w:rsidR="00000000" w:rsidRPr="00000000">
        <w:rPr>
          <w:rtl w:val="0"/>
        </w:rPr>
        <w:t xml:space="preserve">)</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Verywell Health (2019, August 30). Gymnema sylvestre benefits for your body’s defenses. </w:t>
      </w:r>
      <w:r w:rsidDel="00000000" w:rsidR="00000000" w:rsidRPr="00000000">
        <w:rPr>
          <w:i w:val="1"/>
          <w:rtl w:val="0"/>
        </w:rPr>
        <w:t xml:space="preserve">Verywell Health</w:t>
      </w:r>
      <w:r w:rsidDel="00000000" w:rsidR="00000000" w:rsidRPr="00000000">
        <w:rPr>
          <w:rtl w:val="0"/>
        </w:rPr>
        <w:t xml:space="preserve">. (</w:t>
      </w:r>
      <w:hyperlink r:id="rId43">
        <w:r w:rsidDel="00000000" w:rsidR="00000000" w:rsidRPr="00000000">
          <w:rPr>
            <w:color w:val="1155cc"/>
            <w:u w:val="single"/>
            <w:rtl w:val="0"/>
          </w:rPr>
          <w:t xml:space="preserve">Verywell Health</w:t>
        </w:r>
      </w:hyperlink>
      <w:r w:rsidDel="00000000" w:rsidR="00000000" w:rsidRPr="00000000">
        <w:rPr>
          <w:rtl w:val="0"/>
        </w:rPr>
        <w:t xml:space="preserve">)</w:t>
        <w:br w:type="textWrapping"/>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rtl w:val="0"/>
        </w:rPr>
        <w:t xml:space="preserve">EatingWell (2025, July). 5 Supplements to avoid if you have insulin resistance. </w:t>
      </w:r>
      <w:r w:rsidDel="00000000" w:rsidR="00000000" w:rsidRPr="00000000">
        <w:rPr>
          <w:i w:val="1"/>
          <w:rtl w:val="0"/>
        </w:rPr>
        <w:t xml:space="preserve">EatingWell magazine</w:t>
      </w:r>
      <w:r w:rsidDel="00000000" w:rsidR="00000000" w:rsidRPr="00000000">
        <w:rPr>
          <w:rtl w:val="0"/>
        </w:rPr>
        <w:t xml:space="preserve">. (</w:t>
      </w:r>
      <w:hyperlink r:id="rId44">
        <w:r w:rsidDel="00000000" w:rsidR="00000000" w:rsidRPr="00000000">
          <w:rPr>
            <w:color w:val="1155cc"/>
            <w:u w:val="single"/>
            <w:rtl w:val="0"/>
          </w:rPr>
          <w:t xml:space="preserve">EatingWell</w:t>
        </w:r>
      </w:hyperlink>
      <w:r w:rsidDel="00000000" w:rsidR="00000000" w:rsidRPr="00000000">
        <w:rPr>
          <w:rtl w:val="0"/>
        </w:rPr>
        <w:t xml:space="preserve">)</w:t>
        <w:br w:type="textWrapping"/>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rontiersin.org/journals/pharmacology/articles/10.3389/fphar.2019.01223/full?utm_source=chatgpt.com" TargetMode="External"/><Relationship Id="rId20" Type="http://schemas.openxmlformats.org/officeDocument/2006/relationships/hyperlink" Target="https://www.verywellhealth.com/gymnema-sylvestre-4692940?utm_source=chatgpt.com" TargetMode="External"/><Relationship Id="rId42" Type="http://schemas.openxmlformats.org/officeDocument/2006/relationships/hyperlink" Target="https://www.frontiersin.org/journals/pharmacology/articles/10.3389/fphar.2019.01223/full?utm_source=chatgpt.com" TargetMode="External"/><Relationship Id="rId41" Type="http://schemas.openxmlformats.org/officeDocument/2006/relationships/hyperlink" Target="https://en.wikipedia.org/wiki/Gymnema_sylvestre?utm_source=chatgpt.com" TargetMode="External"/><Relationship Id="rId22" Type="http://schemas.openxmlformats.org/officeDocument/2006/relationships/hyperlink" Target="https://www.mattioli1885journals.com/index.php/progressinnutrition/article/download/7780/7850/33049?utm_source=chatgpt.com" TargetMode="External"/><Relationship Id="rId44" Type="http://schemas.openxmlformats.org/officeDocument/2006/relationships/hyperlink" Target="https://www.eatingwell.com/supplements-to-avoid-if-you-have-insulin-resistance-11760319?utm_source=chatgpt.com" TargetMode="External"/><Relationship Id="rId21" Type="http://schemas.openxmlformats.org/officeDocument/2006/relationships/hyperlink" Target="https://www.mattioli1885journals.com/index.php/progressinnutrition/article/download/7780/7850/33049?utm_source=chatgpt.com" TargetMode="External"/><Relationship Id="rId43" Type="http://schemas.openxmlformats.org/officeDocument/2006/relationships/hyperlink" Target="https://www.verywellhealth.com/gymnema-sylvestre-4692940?utm_source=chatgpt.com" TargetMode="External"/><Relationship Id="rId24" Type="http://schemas.openxmlformats.org/officeDocument/2006/relationships/hyperlink" Target="https://impactfactor.org/PDF/IJPCR/16/IJPCR%2CVol16%2CIssue7%2CArticle118.pdf?utm_source=chatgpt.com" TargetMode="External"/><Relationship Id="rId23" Type="http://schemas.openxmlformats.org/officeDocument/2006/relationships/hyperlink" Target="https://pubmed.ncbi.nlm.nih.gov/34467577/?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rywellhealth.com/gymnema-sylvestre-4692940?utm_source=chatgpt.com" TargetMode="External"/><Relationship Id="rId26" Type="http://schemas.openxmlformats.org/officeDocument/2006/relationships/hyperlink" Target="https://www.mattioli1885journals.com/index.php/progressinnutrition/article/download/7780/7850/33049?utm_source=chatgpt.com" TargetMode="External"/><Relationship Id="rId25" Type="http://schemas.openxmlformats.org/officeDocument/2006/relationships/hyperlink" Target="https://www.frontiersin.org/journals/pharmacology/articles/10.3389/fphar.2019.01223/full?utm_source=chatgpt.com" TargetMode="External"/><Relationship Id="rId28" Type="http://schemas.openxmlformats.org/officeDocument/2006/relationships/hyperlink" Target="https://onlinelibrary.wiley.com/doi/full/10.1002/fsn3.3685?utm_source=chatgpt.com" TargetMode="External"/><Relationship Id="rId27" Type="http://schemas.openxmlformats.org/officeDocument/2006/relationships/hyperlink" Target="https://onlinelibrary.wiley.com/doi/full/10.1002/fsn3.3685?utm_source=chatgpt.com" TargetMode="External"/><Relationship Id="rId5" Type="http://schemas.openxmlformats.org/officeDocument/2006/relationships/styles" Target="styles.xml"/><Relationship Id="rId6" Type="http://schemas.openxmlformats.org/officeDocument/2006/relationships/hyperlink" Target="https://en.wikipedia.org/wiki/Gymnema_sylvestre?utm_source=chatgpt.com" TargetMode="External"/><Relationship Id="rId29" Type="http://schemas.openxmlformats.org/officeDocument/2006/relationships/hyperlink" Target="https://www.mdpi.com/2072-6643/16/14/2284?utm_source=chatgpt.com" TargetMode="External"/><Relationship Id="rId7" Type="http://schemas.openxmlformats.org/officeDocument/2006/relationships/hyperlink" Target="https://pmc.ncbi.nlm.nih.gov/articles/PMC2170951/?utm_source=chatgpt.com" TargetMode="External"/><Relationship Id="rId8" Type="http://schemas.openxmlformats.org/officeDocument/2006/relationships/hyperlink" Target="https://www.verywellhealth.com/gymnema-sylvestre-4692940?utm_source=chatgpt.com" TargetMode="External"/><Relationship Id="rId31" Type="http://schemas.openxmlformats.org/officeDocument/2006/relationships/hyperlink" Target="https://www.verywellhealth.com/gymnema-sylvestre-4692940?utm_source=chatgpt.com" TargetMode="External"/><Relationship Id="rId30" Type="http://schemas.openxmlformats.org/officeDocument/2006/relationships/hyperlink" Target="https://www.mdpi.com/2072-6643/16/14/2284?utm_source=chatgpt.com" TargetMode="External"/><Relationship Id="rId11" Type="http://schemas.openxmlformats.org/officeDocument/2006/relationships/hyperlink" Target="https://en.wikipedia.org/wiki/Gymnema_sylvestre?utm_source=chatgpt.com" TargetMode="External"/><Relationship Id="rId33" Type="http://schemas.openxmlformats.org/officeDocument/2006/relationships/hyperlink" Target="https://www.frontiersin.org/journals/pharmacology/articles/10.3389/fphar.2019.01223/full?utm_source=chatgpt.com" TargetMode="External"/><Relationship Id="rId10" Type="http://schemas.openxmlformats.org/officeDocument/2006/relationships/hyperlink" Target="https://pmc.ncbi.nlm.nih.gov/articles/PMC2170951/?utm_source=chatgpt.com" TargetMode="External"/><Relationship Id="rId32" Type="http://schemas.openxmlformats.org/officeDocument/2006/relationships/hyperlink" Target="https://www.clinician.com/articles/85341-i-gymnema-sylvestre-i-for-the-treatment-of-diabetes-8212-how-sweet-it-isn-8217-t?utm_source=chatgpt.com" TargetMode="External"/><Relationship Id="rId13" Type="http://schemas.openxmlformats.org/officeDocument/2006/relationships/hyperlink" Target="https://pmc.ncbi.nlm.nih.gov/articles/PMC2170951/?utm_source=chatgpt.com" TargetMode="External"/><Relationship Id="rId35" Type="http://schemas.openxmlformats.org/officeDocument/2006/relationships/hyperlink" Target="https://www.mattioli1885journals.com/index.php/progressinnutrition/article/download/7780/7850/33049?utm_source=chatgpt.com" TargetMode="External"/><Relationship Id="rId12" Type="http://schemas.openxmlformats.org/officeDocument/2006/relationships/hyperlink" Target="https://en.wikipedia.org/wiki/Gymnema_sylvestre?utm_source=chatgpt.com" TargetMode="External"/><Relationship Id="rId34" Type="http://schemas.openxmlformats.org/officeDocument/2006/relationships/hyperlink" Target="https://www.mattioli1885journals.com/index.php/progressinnutrition/article/download/7780/7850/33049?utm_source=chatgpt.com" TargetMode="External"/><Relationship Id="rId15" Type="http://schemas.openxmlformats.org/officeDocument/2006/relationships/hyperlink" Target="https://www.mattioli1885journals.com/index.php/progressinnutrition/article/download/7780/7850/33049?utm_source=chatgpt.com" TargetMode="External"/><Relationship Id="rId37" Type="http://schemas.openxmlformats.org/officeDocument/2006/relationships/hyperlink" Target="https://pubmed.ncbi.nlm.nih.gov/34467577/?utm_source=chatgpt.com" TargetMode="External"/><Relationship Id="rId14" Type="http://schemas.openxmlformats.org/officeDocument/2006/relationships/hyperlink" Target="https://www.mattioli1885journals.com/index.php/progressinnutrition/article/download/7780/7850/33049?utm_source=chatgpt.com" TargetMode="External"/><Relationship Id="rId36" Type="http://schemas.openxmlformats.org/officeDocument/2006/relationships/hyperlink" Target="https://www.verywellhealth.com/gymnema-sylvestre-4692940?utm_source=chatgpt.com" TargetMode="External"/><Relationship Id="rId17" Type="http://schemas.openxmlformats.org/officeDocument/2006/relationships/hyperlink" Target="https://www.verywellhealth.com/gymnema-sylvestre-4692940?utm_source=chatgpt.com" TargetMode="External"/><Relationship Id="rId39" Type="http://schemas.openxmlformats.org/officeDocument/2006/relationships/hyperlink" Target="https://www.frontiersin.org/journals/pharmacology/articles/10.3389/fphar.2019.01223/full?utm_source=chatgpt.com" TargetMode="External"/><Relationship Id="rId16" Type="http://schemas.openxmlformats.org/officeDocument/2006/relationships/hyperlink" Target="https://pubmed.ncbi.nlm.nih.gov/34467577/?utm_source=chatgpt.com" TargetMode="External"/><Relationship Id="rId38" Type="http://schemas.openxmlformats.org/officeDocument/2006/relationships/hyperlink" Target="https://impactfactor.org/PDF/IJPCR/16/IJPCR%2CVol16%2CIssue7%2CArticle118.pdf?utm_source=chatgpt.com" TargetMode="External"/><Relationship Id="rId19" Type="http://schemas.openxmlformats.org/officeDocument/2006/relationships/hyperlink" Target="https://www.frontiersin.org/journals/pharmacology/articles/10.3389/fphar.2019.01223/full?utm_source=chatgpt.com" TargetMode="External"/><Relationship Id="rId18" Type="http://schemas.openxmlformats.org/officeDocument/2006/relationships/hyperlink" Target="https://www.frontiersin.org/journals/pharmacology/articles/10.3389/fphar.2019.01223/ful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