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080F9" w14:textId="4964BE29" w:rsidR="00C25555" w:rsidRPr="00C25555" w:rsidRDefault="00C25555" w:rsidP="00C25555">
      <w:pPr>
        <w:rPr>
          <w:b/>
          <w:bCs/>
        </w:rPr>
      </w:pPr>
      <w:r w:rsidRPr="00C25555">
        <w:rPr>
          <w:b/>
          <w:bCs/>
        </w:rPr>
        <w:t xml:space="preserve">Shahbaj Singh </w:t>
      </w:r>
    </w:p>
    <w:p w14:paraId="40F1EC32" w14:textId="5C03992A" w:rsidR="008D1C1B" w:rsidRPr="00C25555" w:rsidRDefault="00000000" w:rsidP="00C25555">
      <w:pPr>
        <w:jc w:val="center"/>
        <w:rPr>
          <w:b/>
          <w:bCs/>
        </w:rPr>
      </w:pPr>
      <w:r w:rsidRPr="00C25555">
        <w:rPr>
          <w:b/>
          <w:bCs/>
        </w:rPr>
        <w:t>Neural Networks</w:t>
      </w:r>
      <w:r w:rsidR="00C25555">
        <w:rPr>
          <w:b/>
          <w:bCs/>
        </w:rPr>
        <w:t xml:space="preserve"> </w:t>
      </w:r>
      <w:r w:rsidRPr="00C25555">
        <w:rPr>
          <w:b/>
          <w:bCs/>
        </w:rPr>
        <w:t>and GDPR</w:t>
      </w:r>
      <w:r w:rsidR="00C25555">
        <w:rPr>
          <w:b/>
          <w:bCs/>
        </w:rPr>
        <w:t xml:space="preserve"> Concerns</w:t>
      </w:r>
    </w:p>
    <w:p w14:paraId="1BFF10DC" w14:textId="1C1579BA" w:rsidR="008D1C1B" w:rsidRDefault="00000000">
      <w:pPr>
        <w:ind w:firstLine="720"/>
        <w:jc w:val="both"/>
      </w:pPr>
      <w:r>
        <w:t xml:space="preserve">This white paper was prepared in response to concerns raised by a European Union regulator about our company’s potential violations of the General Data Protection Regulation (GDPR). As the lead engineer responsible for the neural network systems that power our personalization features, I have been asked to explain how those systems work, be honest about the legal risks our current practices </w:t>
      </w:r>
      <w:r w:rsidR="00C25555">
        <w:t>create and</w:t>
      </w:r>
      <w:r>
        <w:t xml:space="preserve"> lay out a realistic path toward compliance. The audience is intentionally broad, covering systems engineers, software developers, AI specialists, and legal team members, because solving this problem will require all of them working together.</w:t>
      </w:r>
    </w:p>
    <w:p w14:paraId="23368178" w14:textId="77777777" w:rsidR="008D1C1B" w:rsidRDefault="008D1C1B"/>
    <w:p w14:paraId="7D119F3F" w14:textId="77777777" w:rsidR="008D1C1B" w:rsidRDefault="00000000">
      <w:pPr>
        <w:ind w:firstLine="720"/>
        <w:jc w:val="both"/>
      </w:pPr>
      <w:r>
        <w:t>A neural network is a machine learning model built from layers of interconnected nodes, loosely inspired by how neurons pass signals in the human brain. Three types of layers define the structure. The input layer receives raw data: in our case, a user’s clicks, time spent on content, location, and browsing patterns. The hidden layers do the computational work, passing weighted values through mathematical functions; early layers detect simple signals while deeper ones recognize complex behavioral patterns. The output layer produces something actionable, such as a ranked list of recommended posts or a probability score for an ad click (ICO, n.d.). The model improves by comparing its predictions to actual outcomes and adjusting its internal weights through a process called backpropagation. The result is a system that surfaces patterns no human analyst could find manually, but that is also, crucially, a black box: even those who built it often cannot explain why it made a specific recommendation (Horn and Hanania, 2020). Under the GDPR, that lack of explainability is not just a technical limitation; it is a legal liability.</w:t>
      </w:r>
    </w:p>
    <w:p w14:paraId="28173F1B" w14:textId="77777777" w:rsidR="008D1C1B" w:rsidRDefault="008D1C1B"/>
    <w:p w14:paraId="1EDCB505" w14:textId="77777777" w:rsidR="008D1C1B" w:rsidRDefault="00000000">
      <w:pPr>
        <w:ind w:firstLine="720"/>
        <w:jc w:val="both"/>
      </w:pPr>
      <w:r>
        <w:lastRenderedPageBreak/>
        <w:t>Our personalization systems touch nearly every feature on the platform. Feed ranking, friend and group suggestions, content discovery, and targeted advertising are all driven by neural network models trained on the behavioral data users generate as they interact with the site. The underlying goal is to maximize time on platform and ad click-through rates (Horn and Hanania, 2020), which is a legitimate business objective, but one that creates three serious ethical concerns. The first is bias: models trained on historical behavior absorb and reproduce the inequalities embedded in that data, often without anyone noticing, because there is no human reviewing each individual recommendation. The second is the explanation gap: we cannot tell a user in plain terms why they are seeing specific content, which is both a trust problem and, as we will discuss, a direct GDPR liability (Horn and Hanania, 2020). The third is what might be called the engagement trap: a system optimized for clicks tends to reward content that provokes strong emotional reactions, which can push recommendations toward divisive or extreme material regardless of whether that serves the user’s actual interests. These are not hypothetical risks; they are the predictable results of how our system is designed, and they are exactly what the regulator is concerned about.</w:t>
      </w:r>
    </w:p>
    <w:p w14:paraId="14193BDD" w14:textId="77777777" w:rsidR="008D1C1B" w:rsidRDefault="008D1C1B"/>
    <w:p w14:paraId="271A45DC" w14:textId="77777777" w:rsidR="008D1C1B" w:rsidRDefault="00000000">
      <w:pPr>
        <w:ind w:firstLine="720"/>
        <w:jc w:val="both"/>
      </w:pPr>
      <w:r>
        <w:t xml:space="preserve">The GDPR establishes seven data protection principles, and our current practices fall short on at least five (ICO, n.d.). Transparency requires clearly explaining how user data is used, including the logic behind automated decisions; our privacy policy is too vague to meet this standard (ICO, n.d.). Purpose limitation means data collected for one reason cannot be reused for something else; we gather behavioral data for personalization but route it into advertising systems users never explicitly approved (ICO, n.d.). Data minimization requires collecting only what is strictly necessary; capturing every available signal because more data might help our models is not a recognized justification under the GDPR (ICO, n.d.). Accuracy requires keeping personal </w:t>
      </w:r>
      <w:r>
        <w:lastRenderedPageBreak/>
        <w:t>data current; our profiles accumulate without review, so users are still targeted based on patterns the system learned long ago (ICO, n.d.). Accountability requires being able to demonstrate compliance at any time; our documentation is inconsistent, we have no model audit process, and we have not mapped our data flows against our legal bases (ICO, n.d.). Storage limitation and confidentiality round out our exposure: indefinite retention conflicts with the necessity requirement, and the volume of sensitive data we hold amplifies the damage of any breach.</w:t>
      </w:r>
    </w:p>
    <w:p w14:paraId="35F6C1B8" w14:textId="77777777" w:rsidR="008D1C1B" w:rsidRDefault="008D1C1B"/>
    <w:p w14:paraId="56727D8B" w14:textId="77777777" w:rsidR="008D1C1B" w:rsidRDefault="00000000">
      <w:pPr>
        <w:ind w:firstLine="720"/>
        <w:jc w:val="both"/>
      </w:pPr>
      <w:r>
        <w:t>The legal exposure from these gaps is real. Article 22 restricts decision-making carried out entirely by automated means that produces significant effects on individuals, and regulators have expanded this provision to cover recommendation systems like ours (Horn and Hanania, 2020). Without documented human oversight and a meaningful opt-out, we face fines of up to four percent of global annual revenue under Article 83. Our consent framework is a separate issue: bundling all data uses into a single account-creation agreement does not satisfy the GDPR requirement for consent that is freely given, specific, and informed (</w:t>
      </w:r>
      <w:proofErr w:type="spellStart"/>
      <w:r>
        <w:t>Instapage</w:t>
      </w:r>
      <w:proofErr w:type="spellEnd"/>
      <w:r>
        <w:t>, 2019). The GDPR also classifies cookies and persistent identifiers as personal data, meaning every behavioral signal we collect through tracking is subject to these consent rules (GDPR.eu, n.d.). Retaining that data indefinitely adds ongoing exposure under Article 17. Stopping personalized data collection altogether might seem like the simplest solution, but it is not realistic: personalization is the foundation of our product and the engine of our advertising revenue. What the GDPR asks for is better governance, not less data: collect what you need, be honest about why, get real consent, and be able to prove it (</w:t>
      </w:r>
      <w:proofErr w:type="spellStart"/>
      <w:r>
        <w:t>Instapage</w:t>
      </w:r>
      <w:proofErr w:type="spellEnd"/>
      <w:r>
        <w:t>, 2019).</w:t>
      </w:r>
    </w:p>
    <w:p w14:paraId="01472533" w14:textId="77777777" w:rsidR="008D1C1B" w:rsidRDefault="008D1C1B"/>
    <w:p w14:paraId="216AD7FE" w14:textId="77777777" w:rsidR="008D1C1B" w:rsidRDefault="008D1C1B">
      <w:pPr>
        <w:ind w:firstLine="720"/>
        <w:jc w:val="both"/>
      </w:pPr>
    </w:p>
    <w:p w14:paraId="1AECE32C" w14:textId="77777777" w:rsidR="008D1C1B" w:rsidRDefault="00000000">
      <w:pPr>
        <w:ind w:firstLine="720"/>
        <w:jc w:val="both"/>
      </w:pPr>
      <w:r>
        <w:lastRenderedPageBreak/>
        <w:t>The field of privacy-preserving machine learning has matured considerably, and there are six concrete changes I am recommending to how we build, deploy, and govern our models. The first two are technical and work best in combination. Federated learning restructures our training so that model updates happen directly on users’ devices and only aggregated adjustments are sent to our servers, dramatically reducing the personal data we centrally hold and addressing both data minimization and storage limitation (Truong et al., 2021). Differential privacy adds calibrated statistical noise to those aggregated updates before transmission, making it mathematically infeasible to reconstruct any individual user’s data from the output (Truong et al., 2021). The third proposal is explainable AI tooling such as LIME and SHAP, which generate readable explanations of why a model made a specific recommendation for a specific user, satisfying the transparency principle and Article 22’s right-to-explanation requirement without requiring us to redesign our networks (Horn and Hanania, 2020).</w:t>
      </w:r>
    </w:p>
    <w:p w14:paraId="0CD3E14C" w14:textId="77777777" w:rsidR="008D1C1B" w:rsidRDefault="00000000">
      <w:pPr>
        <w:ind w:firstLine="720"/>
        <w:jc w:val="both"/>
      </w:pPr>
      <w:r>
        <w:t>The remaining three proposals address governance and process. We need to completely rebuild our consent flows so that users are asked to approve each distinct data use separately, in plain language, and can withdraw that consent at any time without losing access to the platform; the GDPR requires consent to be as easy to revoke as it was to give, and our current bundled approach falls short (</w:t>
      </w:r>
      <w:proofErr w:type="spellStart"/>
      <w:r>
        <w:t>Instapage</w:t>
      </w:r>
      <w:proofErr w:type="spellEnd"/>
      <w:r>
        <w:t>, 2019). We also need automated data retention schedules that delete or anonymize behavioral data after a defined window, twelve months is a reasonable starting point, unless a user explicitly consents to longer storage, which resolves our Article 17 exposure. Finally, we need a recurring algorithmic accountability program: scheduled internal reviews and periodic independent audits examining our models for bias, fairness, and compliance with our stated data practices, with all findings documented and retained. The accountability principle does not allow us to simply claim we are compliant; it requires us to be able to show the work (ICO, n.d.).</w:t>
      </w:r>
    </w:p>
    <w:p w14:paraId="3776D553" w14:textId="77777777" w:rsidR="008D1C1B" w:rsidRDefault="008D1C1B"/>
    <w:p w14:paraId="64E28F87" w14:textId="77777777" w:rsidR="008D1C1B" w:rsidRDefault="00000000">
      <w:pPr>
        <w:ind w:firstLine="720"/>
        <w:jc w:val="both"/>
      </w:pPr>
      <w:r>
        <w:t>Our personalization systems are genuinely valuable, and nothing in the GDPR requires us to dismantle them. What the regulation requires is that we operate them with more discipline and more honesty than we currently do. The six proposals in this paper address our specific compliance gaps while preserving the recommendation quality our platform depends on. I am recommending that this team build a concrete compliance roadmap, assign clear ownership for each proposal, and reach out to the regulator proactively rather than waiting for enforcement. Acting on our own initiative is both the right thing to do and the most strategically sensible position we can take.</w:t>
      </w:r>
    </w:p>
    <w:p w14:paraId="62A92361" w14:textId="77777777" w:rsidR="008D1C1B" w:rsidRDefault="008D1C1B"/>
    <w:p w14:paraId="2D6D1EEB" w14:textId="77777777" w:rsidR="00C25555" w:rsidRDefault="00C25555"/>
    <w:p w14:paraId="3A5C5EDC" w14:textId="77777777" w:rsidR="00C25555" w:rsidRDefault="00C25555"/>
    <w:p w14:paraId="6ABE682B" w14:textId="77777777" w:rsidR="00C25555" w:rsidRDefault="00C25555"/>
    <w:p w14:paraId="4D027411" w14:textId="77777777" w:rsidR="00C25555" w:rsidRDefault="00C25555"/>
    <w:p w14:paraId="0CB37D9C" w14:textId="77777777" w:rsidR="00C25555" w:rsidRDefault="00C25555"/>
    <w:p w14:paraId="11EBA603" w14:textId="77777777" w:rsidR="00C25555" w:rsidRDefault="00C25555"/>
    <w:p w14:paraId="4BAD077B" w14:textId="77777777" w:rsidR="00C25555" w:rsidRDefault="00C25555"/>
    <w:p w14:paraId="7C72CA81" w14:textId="77777777" w:rsidR="00C25555" w:rsidRDefault="00C25555"/>
    <w:p w14:paraId="6B86F1C0" w14:textId="77777777" w:rsidR="00C25555" w:rsidRDefault="00C25555"/>
    <w:p w14:paraId="074E59E5" w14:textId="77777777" w:rsidR="00C25555" w:rsidRDefault="00C25555"/>
    <w:p w14:paraId="72959513" w14:textId="77777777" w:rsidR="00C25555" w:rsidRDefault="00C25555"/>
    <w:p w14:paraId="574B7FB8" w14:textId="77777777" w:rsidR="00C25555" w:rsidRDefault="00C25555"/>
    <w:p w14:paraId="013E3A5F" w14:textId="77777777" w:rsidR="00C25555" w:rsidRDefault="00C25555"/>
    <w:p w14:paraId="22CA281B" w14:textId="77777777" w:rsidR="00C25555" w:rsidRDefault="00C25555"/>
    <w:p w14:paraId="0DBF2B50" w14:textId="77777777" w:rsidR="008D1C1B" w:rsidRDefault="00000000" w:rsidP="00C25555">
      <w:pPr>
        <w:pStyle w:val="Heading1"/>
        <w:ind w:left="2880" w:firstLine="720"/>
      </w:pPr>
      <w:r>
        <w:lastRenderedPageBreak/>
        <w:t>References</w:t>
      </w:r>
    </w:p>
    <w:p w14:paraId="79ED6530" w14:textId="77777777" w:rsidR="008D1C1B" w:rsidRDefault="00000000">
      <w:pPr>
        <w:ind w:left="720" w:hanging="720"/>
      </w:pPr>
      <w:r>
        <w:t xml:space="preserve">GDPR.eu. (n.d.). Cookies, the GDPR, and the </w:t>
      </w:r>
      <w:proofErr w:type="spellStart"/>
      <w:r>
        <w:t>ePrivacy</w:t>
      </w:r>
      <w:proofErr w:type="spellEnd"/>
      <w:r>
        <w:t xml:space="preserve"> Directive. GDPR.eu. https://gdpr.eu/cookies/</w:t>
      </w:r>
    </w:p>
    <w:p w14:paraId="234FED6E" w14:textId="77777777" w:rsidR="008D1C1B" w:rsidRDefault="00000000">
      <w:pPr>
        <w:ind w:left="720" w:hanging="720"/>
      </w:pPr>
      <w:r>
        <w:t>Horn, N., &amp; Hanania, P. (2020, January 22). AI and the Janus face of the GDPR – Chance or challenge? Capgemini. https://www.capgemini.com/pt-en/2020/01/ai-and-the-janus-face-of-the-gdpr-chance-or-challenge/</w:t>
      </w:r>
    </w:p>
    <w:p w14:paraId="4C546CB4" w14:textId="77777777" w:rsidR="008D1C1B" w:rsidRDefault="00000000">
      <w:pPr>
        <w:ind w:left="720" w:hanging="720"/>
      </w:pPr>
      <w:r>
        <w:t>ICO. (n.d.). A guide to the data protection principles. Information Commissioner’s Office. https://ico.org.uk/for-organisations/uk-gdpr-guidance-and-resources/data-protection-principles/a-guide-to-the-data-protection-principles/</w:t>
      </w:r>
    </w:p>
    <w:p w14:paraId="5DDB03C4" w14:textId="77777777" w:rsidR="008D1C1B" w:rsidRDefault="00000000">
      <w:pPr>
        <w:ind w:left="720" w:hanging="720"/>
      </w:pPr>
      <w:proofErr w:type="spellStart"/>
      <w:r>
        <w:t>Instapage</w:t>
      </w:r>
      <w:proofErr w:type="spellEnd"/>
      <w:r>
        <w:t xml:space="preserve">. (2019, July 2). How much personalization is still possible in the post-GDPR era? </w:t>
      </w:r>
      <w:proofErr w:type="spellStart"/>
      <w:r>
        <w:t>Instapage</w:t>
      </w:r>
      <w:proofErr w:type="spellEnd"/>
      <w:r>
        <w:t>. https://instapage.com/blog/personalization-and-gdpr</w:t>
      </w:r>
    </w:p>
    <w:p w14:paraId="362C4FE5" w14:textId="77777777" w:rsidR="008D1C1B" w:rsidRDefault="00000000">
      <w:pPr>
        <w:ind w:left="720" w:hanging="720"/>
      </w:pPr>
      <w:r>
        <w:t>Truong, N., Sun, K., Wang, S., Guitton, F., &amp; Guo, Y. (2021). Privacy preservation in federated learning: An insightful survey from the GDPR perspective. Computers &amp; Security, 110, Article 102402. https://doi.org/10.1016/j.cose.2021.102402</w:t>
      </w:r>
    </w:p>
    <w:sectPr w:rsidR="008D1C1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27F8"/>
    <w:multiLevelType w:val="hybridMultilevel"/>
    <w:tmpl w:val="1C3EF6A6"/>
    <w:lvl w:ilvl="0" w:tplc="C3C4E10E">
      <w:start w:val="1"/>
      <w:numFmt w:val="bullet"/>
      <w:lvlText w:val="●"/>
      <w:lvlJc w:val="left"/>
      <w:pPr>
        <w:ind w:left="720" w:hanging="360"/>
      </w:pPr>
    </w:lvl>
    <w:lvl w:ilvl="1" w:tplc="7B8066D2">
      <w:start w:val="1"/>
      <w:numFmt w:val="bullet"/>
      <w:lvlText w:val="○"/>
      <w:lvlJc w:val="left"/>
      <w:pPr>
        <w:ind w:left="1440" w:hanging="360"/>
      </w:pPr>
    </w:lvl>
    <w:lvl w:ilvl="2" w:tplc="ED101230">
      <w:start w:val="1"/>
      <w:numFmt w:val="bullet"/>
      <w:lvlText w:val="■"/>
      <w:lvlJc w:val="left"/>
      <w:pPr>
        <w:ind w:left="2160" w:hanging="360"/>
      </w:pPr>
    </w:lvl>
    <w:lvl w:ilvl="3" w:tplc="0006395E">
      <w:start w:val="1"/>
      <w:numFmt w:val="bullet"/>
      <w:lvlText w:val="●"/>
      <w:lvlJc w:val="left"/>
      <w:pPr>
        <w:ind w:left="2880" w:hanging="360"/>
      </w:pPr>
    </w:lvl>
    <w:lvl w:ilvl="4" w:tplc="5E52CD4A">
      <w:start w:val="1"/>
      <w:numFmt w:val="bullet"/>
      <w:lvlText w:val="○"/>
      <w:lvlJc w:val="left"/>
      <w:pPr>
        <w:ind w:left="3600" w:hanging="360"/>
      </w:pPr>
    </w:lvl>
    <w:lvl w:ilvl="5" w:tplc="1292DB4A">
      <w:start w:val="1"/>
      <w:numFmt w:val="bullet"/>
      <w:lvlText w:val="■"/>
      <w:lvlJc w:val="left"/>
      <w:pPr>
        <w:ind w:left="4320" w:hanging="360"/>
      </w:pPr>
    </w:lvl>
    <w:lvl w:ilvl="6" w:tplc="66DC6E52">
      <w:start w:val="1"/>
      <w:numFmt w:val="bullet"/>
      <w:lvlText w:val="●"/>
      <w:lvlJc w:val="left"/>
      <w:pPr>
        <w:ind w:left="5040" w:hanging="360"/>
      </w:pPr>
    </w:lvl>
    <w:lvl w:ilvl="7" w:tplc="A120D96E">
      <w:start w:val="1"/>
      <w:numFmt w:val="bullet"/>
      <w:lvlText w:val="●"/>
      <w:lvlJc w:val="left"/>
      <w:pPr>
        <w:ind w:left="5760" w:hanging="360"/>
      </w:pPr>
    </w:lvl>
    <w:lvl w:ilvl="8" w:tplc="D6CA9A6C">
      <w:start w:val="1"/>
      <w:numFmt w:val="bullet"/>
      <w:lvlText w:val="●"/>
      <w:lvlJc w:val="left"/>
      <w:pPr>
        <w:ind w:left="6480" w:hanging="360"/>
      </w:pPr>
    </w:lvl>
  </w:abstractNum>
  <w:num w:numId="1" w16cid:durableId="712122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C1B"/>
    <w:rsid w:val="002B1061"/>
    <w:rsid w:val="008D1C1B"/>
    <w:rsid w:val="00C25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5465F1"/>
  <w15:docId w15:val="{B6E100F9-75BC-D049-9EF7-2E18A5FD8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style>
  <w:style w:type="paragraph" w:styleId="Heading1">
    <w:name w:val="heading 1"/>
    <w:basedOn w:val="Normal"/>
    <w:next w:val="Normal"/>
    <w:uiPriority w:val="9"/>
    <w:qFormat/>
    <w:pPr>
      <w:outlineLvl w:val="0"/>
    </w:pPr>
    <w:rPr>
      <w:b/>
      <w:bCs/>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1426</Words>
  <Characters>8129</Characters>
  <Application>Microsoft Office Word</Application>
  <DocSecurity>0</DocSecurity>
  <Lines>67</Lines>
  <Paragraphs>19</Paragraphs>
  <ScaleCrop>false</ScaleCrop>
  <Company/>
  <LinksUpToDate>false</LinksUpToDate>
  <CharactersWithSpaces>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Singh, Shahbaj</cp:lastModifiedBy>
  <cp:revision>2</cp:revision>
  <dcterms:created xsi:type="dcterms:W3CDTF">2026-03-24T18:14:00Z</dcterms:created>
  <dcterms:modified xsi:type="dcterms:W3CDTF">2026-03-28T20:02:00Z</dcterms:modified>
</cp:coreProperties>
</file>