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765"/>
      </w:tblGrid>
      <w:tr>
        <w:tc>
          <w:tcPr>
            <w:tcW w:type="dxa" w:w="8765"/>
            <w:vAlign w:val="center"/>
            <w:shd w:fill="062A22"/>
          </w:tcPr>
          <w:p>
            <w:pPr>
              <w:jc w:val="center"/>
            </w:pPr>
            <w:r>
              <w:rPr>
                <w:b/>
                <w:color w:val="8BD15F"/>
                <w:sz w:val="20"/>
              </w:rPr>
              <w:t>ENVIROQUANT™  •  ENVIRONMENTAL INTELLIGENCE PLATFORM</w:t>
            </w:r>
          </w:p>
          <w:p/>
          <w:p/>
          <w:p/>
          <w:p>
            <w:pPr>
              <w:jc w:val="center"/>
            </w:pPr>
            <w:r>
              <w:rPr>
                <w:rFonts w:ascii="Calibri" w:hAnsi="Calibri"/>
                <w:b/>
                <w:color w:val="FFFFFF"/>
                <w:sz w:val="56"/>
              </w:rPr>
              <w:t>ENVIRONMENTAL</w:t>
              <w:br/>
              <w:t>IMPACT ASSESSMENT</w:t>
            </w:r>
          </w:p>
          <w:p>
            <w:pPr>
              <w:jc w:val="center"/>
            </w:pPr>
            <w:r>
              <w:rPr>
                <w:rFonts w:ascii="Calibri" w:hAnsi="Calibri"/>
                <w:b/>
                <w:color w:val="8BD15F"/>
                <w:sz w:val="32"/>
              </w:rPr>
              <w:t>Kuwait EIA End-to-End Demonstration Report</w:t>
            </w:r>
          </w:p>
          <w:p>
            <w:pPr>
              <w:jc w:val="center"/>
            </w:pPr>
            <w:r>
              <w:rPr>
                <w:color w:val="FFFFFF"/>
                <w:sz w:val="26"/>
              </w:rPr>
              <w:t>Project: Kuwait EIA End-to-End Demo</w:t>
            </w:r>
          </w:p>
          <w:p>
            <w:pPr>
              <w:jc w:val="center"/>
            </w:pPr>
            <w:r>
              <w:rPr>
                <w:color w:val="D8E7DF"/>
                <w:sz w:val="22"/>
              </w:rPr>
              <w:t>Location: State of Kuwait — Kuwait</w:t>
            </w:r>
          </w:p>
          <w:p>
            <w:pPr>
              <w:jc w:val="center"/>
            </w:pPr>
            <w:r>
              <w:rPr>
                <w:color w:val="D8E7DF"/>
                <w:sz w:val="22"/>
              </w:rPr>
              <w:t>Sector: Infrastructure</w:t>
            </w:r>
          </w:p>
          <w:p/>
          <w:p/>
          <w:p/>
          <w:p>
            <w:pPr>
              <w:jc w:val="center"/>
            </w:pPr>
            <w:r>
              <w:rPr>
                <w:color w:val="D8E7DF"/>
                <w:sz w:val="20"/>
              </w:rPr>
              <w:t>Generated: 29 September 2026</w:t>
            </w:r>
          </w:p>
          <w:p/>
          <w:p/>
          <w:p>
            <w:pPr>
              <w:jc w:val="center"/>
            </w:pPr>
            <w:r>
              <w:rPr>
                <w:i/>
                <w:color w:val="8BD15F"/>
                <w:sz w:val="18"/>
              </w:rPr>
              <w:t>Prepared using EnviroQuant — AI-Powered EIA Platform</w:t>
            </w:r>
          </w:p>
        </w:tc>
      </w:tr>
    </w:tbl>
    <w:p>
      <w:r>
        <w:br w:type="page"/>
      </w:r>
    </w:p>
    <w:p>
      <w:pPr>
        <w:pStyle w:val="Heading1"/>
      </w:pPr>
      <w:r>
        <w:t>Document Control</w:t>
      </w:r>
    </w:p>
    <w:p>
      <w:r>
        <w:rPr>
          <w:color w:val="52675E"/>
        </w:rPr>
        <w:t>Professional issue, revision, responsibility and confidentiality record. Final issue remains subject to authorised human review and approval.</w:t>
      </w:r>
    </w:p>
    <w:tbl>
      <w:tblPr>
        <w:tblStyle w:val="TableGrid"/>
        <w:tblW w:type="auto" w:w="0"/>
        <w:jc w:val="center"/>
        <w:tblLook w:firstColumn="1" w:firstRow="1" w:lastColumn="0" w:lastRow="0" w:noHBand="0" w:noVBand="1" w:val="04A0"/>
      </w:tblPr>
      <w:tblGrid>
        <w:gridCol w:w="4382"/>
        <w:gridCol w:w="4382"/>
      </w:tblGrid>
      <w:tr>
        <w:tc>
          <w:tcPr>
            <w:tcW w:type="dxa" w:w="4382"/>
            <w:vAlign w:val="center"/>
            <w:shd w:fill="123F2E"/>
          </w:tcPr>
          <w:p>
            <w:r>
              <w:rPr>
                <w:b/>
                <w:color w:val="FFFFFF"/>
              </w:rPr>
              <w:t>Project</w:t>
            </w:r>
          </w:p>
        </w:tc>
        <w:tc>
          <w:tcPr>
            <w:tcW w:type="dxa" w:w="4382"/>
            <w:vAlign w:val="center"/>
            <w:shd w:fill="123F2E"/>
          </w:tcPr>
          <w:p>
            <w:r>
              <w:rPr>
                <w:b/>
                <w:color w:val="FFFFFF"/>
              </w:rPr>
              <w:t>Kuwait EIA End-to-End Demo</w:t>
            </w:r>
          </w:p>
        </w:tc>
      </w:tr>
      <w:tr>
        <w:tc>
          <w:tcPr>
            <w:tcW w:type="dxa" w:w="4382"/>
            <w:vAlign w:val="center"/>
            <w:shd w:fill="FFFFFF"/>
          </w:tcPr>
          <w:p>
            <w:r>
              <w:rPr>
                <w:b/>
                <w:color w:val="18372C"/>
              </w:rPr>
              <w:t>Report</w:t>
            </w:r>
          </w:p>
        </w:tc>
        <w:tc>
          <w:tcPr>
            <w:tcW w:type="dxa" w:w="4382"/>
            <w:vAlign w:val="center"/>
            <w:shd w:fill="FFFFFF"/>
          </w:tcPr>
          <w:p>
            <w:r>
              <w:rPr>
                <w:color w:val="18372C"/>
              </w:rPr>
              <w:t>Kuwait EIA End-to-End Demonstration Report</w:t>
            </w:r>
          </w:p>
        </w:tc>
      </w:tr>
      <w:tr>
        <w:tc>
          <w:tcPr>
            <w:tcW w:type="dxa" w:w="4382"/>
            <w:vAlign w:val="center"/>
            <w:shd w:fill="F1F7F3"/>
          </w:tcPr>
          <w:p>
            <w:r>
              <w:rPr>
                <w:b/>
                <w:color w:val="18372C"/>
              </w:rPr>
              <w:t>Document number</w:t>
            </w:r>
          </w:p>
        </w:tc>
        <w:tc>
          <w:tcPr>
            <w:tcW w:type="dxa" w:w="4382"/>
            <w:vAlign w:val="center"/>
            <w:shd w:fill="F1F7F3"/>
          </w:tcPr>
          <w:p>
            <w:r>
              <w:rPr>
                <w:color w:val="18372C"/>
              </w:rPr>
              <w:t>EQ-EIA-E2DAF394</w:t>
            </w:r>
          </w:p>
        </w:tc>
      </w:tr>
      <w:tr>
        <w:tc>
          <w:tcPr>
            <w:tcW w:type="dxa" w:w="4382"/>
            <w:vAlign w:val="center"/>
            <w:shd w:fill="FFFFFF"/>
          </w:tcPr>
          <w:p>
            <w:r>
              <w:rPr>
                <w:b/>
                <w:color w:val="18372C"/>
              </w:rPr>
              <w:t>Revision</w:t>
            </w:r>
          </w:p>
        </w:tc>
        <w:tc>
          <w:tcPr>
            <w:tcW w:type="dxa" w:w="4382"/>
            <w:vAlign w:val="center"/>
            <w:shd w:fill="FFFFFF"/>
          </w:tcPr>
          <w:p>
            <w:r>
              <w:rPr>
                <w:color w:val="18372C"/>
              </w:rPr>
              <w:t>Working draft</w:t>
            </w:r>
          </w:p>
        </w:tc>
      </w:tr>
      <w:tr>
        <w:tc>
          <w:tcPr>
            <w:tcW w:type="dxa" w:w="4382"/>
            <w:vAlign w:val="center"/>
            <w:shd w:fill="F1F7F3"/>
          </w:tcPr>
          <w:p>
            <w:r>
              <w:rPr>
                <w:b/>
                <w:color w:val="18372C"/>
              </w:rPr>
              <w:t>Issue purpose</w:t>
            </w:r>
          </w:p>
        </w:tc>
        <w:tc>
          <w:tcPr>
            <w:tcW w:type="dxa" w:w="4382"/>
            <w:vAlign w:val="center"/>
            <w:shd w:fill="F1F7F3"/>
          </w:tcPr>
          <w:p>
            <w:r>
              <w:rPr>
                <w:color w:val="18372C"/>
              </w:rPr>
              <w:t>Professional review and editing</w:t>
            </w:r>
          </w:p>
        </w:tc>
      </w:tr>
      <w:tr>
        <w:tc>
          <w:tcPr>
            <w:tcW w:type="dxa" w:w="4382"/>
            <w:vAlign w:val="center"/>
            <w:shd w:fill="FFFFFF"/>
          </w:tcPr>
          <w:p>
            <w:r>
              <w:rPr>
                <w:b/>
                <w:color w:val="18372C"/>
              </w:rPr>
              <w:t>Classification</w:t>
            </w:r>
          </w:p>
        </w:tc>
        <w:tc>
          <w:tcPr>
            <w:tcW w:type="dxa" w:w="4382"/>
            <w:vAlign w:val="center"/>
            <w:shd w:fill="FFFFFF"/>
          </w:tcPr>
          <w:p>
            <w:r>
              <w:rPr>
                <w:color w:val="18372C"/>
              </w:rPr>
              <w:t>Project controlled</w:t>
            </w:r>
          </w:p>
        </w:tc>
      </w:tr>
    </w:tbl>
    <w:p>
      <w:pPr>
        <w:pStyle w:val="Heading2"/>
      </w:pPr>
      <w:r>
        <w:t>Revision History</w:t>
      </w:r>
    </w:p>
    <w:tbl>
      <w:tblPr>
        <w:tblStyle w:val="TableGrid"/>
        <w:tblW w:type="auto" w:w="0"/>
        <w:tblLook w:firstColumn="1" w:firstRow="1" w:lastColumn="0" w:lastRow="0" w:noHBand="0" w:noVBand="1" w:val="04A0"/>
      </w:tblPr>
      <w:tblGrid>
        <w:gridCol w:w="2191"/>
        <w:gridCol w:w="2191"/>
        <w:gridCol w:w="2191"/>
        <w:gridCol w:w="2191"/>
      </w:tblGrid>
      <w:tr>
        <w:tc>
          <w:tcPr>
            <w:tcW w:type="dxa" w:w="2191"/>
            <w:shd w:fill="123F2E"/>
          </w:tcPr>
          <w:p>
            <w:r>
              <w:rPr>
                <w:b/>
                <w:color w:val="FFFFFF"/>
              </w:rPr>
              <w:t>Revision</w:t>
            </w:r>
          </w:p>
        </w:tc>
        <w:tc>
          <w:tcPr>
            <w:tcW w:type="dxa" w:w="2191"/>
            <w:shd w:fill="123F2E"/>
          </w:tcPr>
          <w:p>
            <w:r>
              <w:rPr>
                <w:b/>
                <w:color w:val="FFFFFF"/>
              </w:rPr>
              <w:t>Date</w:t>
            </w:r>
          </w:p>
        </w:tc>
        <w:tc>
          <w:tcPr>
            <w:tcW w:type="dxa" w:w="2191"/>
            <w:shd w:fill="123F2E"/>
          </w:tcPr>
          <w:p>
            <w:r>
              <w:rPr>
                <w:b/>
                <w:color w:val="FFFFFF"/>
              </w:rPr>
              <w:t>Description</w:t>
            </w:r>
          </w:p>
        </w:tc>
        <w:tc>
          <w:tcPr>
            <w:tcW w:type="dxa" w:w="2191"/>
            <w:shd w:fill="123F2E"/>
          </w:tcPr>
          <w:p>
            <w:r>
              <w:rPr>
                <w:b/>
                <w:color w:val="FFFFFF"/>
              </w:rPr>
              <w:t>Decision</w:t>
            </w:r>
          </w:p>
        </w:tc>
      </w:tr>
      <w:tr>
        <w:tc>
          <w:tcPr>
            <w:tcW w:type="dxa" w:w="2191"/>
            <w:shd w:fill="FFFFFF"/>
          </w:tcPr>
          <w:p>
            <w:r>
              <w:rPr>
                <w:color w:val="18372C"/>
              </w:rPr>
              <w:t>Working draft</w:t>
            </w:r>
          </w:p>
        </w:tc>
        <w:tc>
          <w:tcPr>
            <w:tcW w:type="dxa" w:w="2191"/>
            <w:shd w:fill="FFFFFF"/>
          </w:tcPr>
          <w:p>
            <w:r>
              <w:rPr>
                <w:color w:val="18372C"/>
              </w:rPr>
              <w:t>2026-09-29</w:t>
            </w:r>
          </w:p>
        </w:tc>
        <w:tc>
          <w:tcPr>
            <w:tcW w:type="dxa" w:w="2191"/>
            <w:shd w:fill="FFFFFF"/>
          </w:tcPr>
          <w:p>
            <w:r>
              <w:rPr>
                <w:color w:val="18372C"/>
              </w:rPr>
              <w:t>Current generated working copy</w:t>
            </w:r>
          </w:p>
        </w:tc>
        <w:tc>
          <w:tcPr>
            <w:tcW w:type="dxa" w:w="2191"/>
            <w:shd w:fill="FFFFFF"/>
          </w:tcPr>
          <w:p>
            <w:r>
              <w:rPr>
                <w:color w:val="18372C"/>
              </w:rPr>
              <w:t>Professional approval pending</w:t>
            </w:r>
          </w:p>
        </w:tc>
      </w:tr>
    </w:tbl>
    <w:p>
      <w:pPr>
        <w:pStyle w:val="Heading2"/>
      </w:pPr>
      <w:r>
        <w:t>Preparation and Approval</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shd w:fill="123F2E"/>
          </w:tcPr>
          <w:p>
            <w:r>
              <w:rPr>
                <w:b/>
                <w:color w:val="FFFFFF"/>
              </w:rPr>
              <w:t>Role</w:t>
            </w:r>
          </w:p>
        </w:tc>
        <w:tc>
          <w:tcPr>
            <w:tcW w:type="dxa" w:w="2191"/>
            <w:shd w:fill="123F2E"/>
          </w:tcPr>
          <w:p>
            <w:r>
              <w:rPr>
                <w:b/>
                <w:color w:val="FFFFFF"/>
              </w:rPr>
              <w:t>Name / organisation</w:t>
            </w:r>
          </w:p>
        </w:tc>
        <w:tc>
          <w:tcPr>
            <w:tcW w:type="dxa" w:w="2191"/>
            <w:shd w:fill="123F2E"/>
          </w:tcPr>
          <w:p>
            <w:r>
              <w:rPr>
                <w:b/>
                <w:color w:val="FFFFFF"/>
              </w:rPr>
              <w:t>Decision / signature</w:t>
            </w:r>
          </w:p>
        </w:tc>
        <w:tc>
          <w:tcPr>
            <w:tcW w:type="dxa" w:w="2191"/>
            <w:shd w:fill="123F2E"/>
          </w:tcPr>
          <w:p>
            <w:r>
              <w:rPr>
                <w:b/>
                <w:color w:val="FFFFFF"/>
              </w:rPr>
              <w:t>Date</w:t>
            </w:r>
          </w:p>
        </w:tc>
      </w:tr>
      <w:tr>
        <w:tc>
          <w:tcPr>
            <w:tcW w:type="dxa" w:w="2191"/>
            <w:shd w:fill="FFFFFF"/>
          </w:tcPr>
          <w:p>
            <w:r>
              <w:rPr>
                <w:color w:val="18372C"/>
              </w:rPr>
              <w:t>Prepared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r>
        <w:tc>
          <w:tcPr>
            <w:tcW w:type="dxa" w:w="2191"/>
            <w:shd w:fill="F1F7F3"/>
          </w:tcPr>
          <w:p>
            <w:r>
              <w:rPr>
                <w:color w:val="18372C"/>
              </w:rPr>
              <w:t>Checked by</w:t>
            </w:r>
          </w:p>
        </w:tc>
        <w:tc>
          <w:tcPr>
            <w:tcW w:type="dxa" w:w="2191"/>
            <w:shd w:fill="F1F7F3"/>
          </w:tcPr>
          <w:p>
            <w:r>
              <w:rPr>
                <w:color w:val="18372C"/>
              </w:rPr>
            </w:r>
          </w:p>
        </w:tc>
        <w:tc>
          <w:tcPr>
            <w:tcW w:type="dxa" w:w="2191"/>
            <w:shd w:fill="F1F7F3"/>
          </w:tcPr>
          <w:p>
            <w:r>
              <w:rPr>
                <w:color w:val="18372C"/>
              </w:rPr>
            </w:r>
          </w:p>
        </w:tc>
        <w:tc>
          <w:tcPr>
            <w:tcW w:type="dxa" w:w="2191"/>
            <w:shd w:fill="F1F7F3"/>
          </w:tcPr>
          <w:p>
            <w:r>
              <w:rPr>
                <w:color w:val="18372C"/>
              </w:rPr>
            </w:r>
          </w:p>
        </w:tc>
      </w:tr>
      <w:tr>
        <w:tc>
          <w:tcPr>
            <w:tcW w:type="dxa" w:w="2191"/>
            <w:shd w:fill="FFFFFF"/>
          </w:tcPr>
          <w:p>
            <w:r>
              <w:rPr>
                <w:color w:val="18372C"/>
              </w:rPr>
              <w:t>Approved by</w:t>
            </w:r>
          </w:p>
        </w:tc>
        <w:tc>
          <w:tcPr>
            <w:tcW w:type="dxa" w:w="2191"/>
            <w:shd w:fill="FFFFFF"/>
          </w:tcPr>
          <w:p>
            <w:r>
              <w:rPr>
                <w:color w:val="18372C"/>
              </w:rPr>
            </w:r>
          </w:p>
        </w:tc>
        <w:tc>
          <w:tcPr>
            <w:tcW w:type="dxa" w:w="2191"/>
            <w:shd w:fill="FFFFFF"/>
          </w:tcPr>
          <w:p>
            <w:r>
              <w:rPr>
                <w:color w:val="18372C"/>
              </w:rPr>
            </w:r>
          </w:p>
        </w:tc>
        <w:tc>
          <w:tcPr>
            <w:tcW w:type="dxa" w:w="2191"/>
            <w:shd w:fill="FFFFFF"/>
          </w:tcPr>
          <w:p>
            <w:r>
              <w:rPr>
                <w:color w:val="18372C"/>
              </w:rPr>
            </w:r>
          </w:p>
        </w:tc>
      </w:tr>
    </w:tbl>
    <w:p>
      <w:pPr>
        <w:spacing w:before="200"/>
      </w:pPr>
      <w:r>
        <w:rPr>
          <w:i/>
          <w:color w:val="697A73"/>
          <w:sz w:val="18"/>
        </w:rPr>
        <w:t>AI supports evidence organisation, drafting and quality checks. It does not constitute regulatory approval or replace professional judgement.</w:t>
      </w:r>
    </w:p>
    <w:p>
      <w:r>
        <w:br w:type="page"/>
      </w:r>
    </w:p>
    <w:p>
      <w:pPr>
        <w:pStyle w:val="Heading1"/>
      </w:pPr>
      <w:r>
        <w:t>Table of Contents</w:t>
      </w:r>
    </w:p>
    <w:p>
      <w:r>
        <w:rPr>
          <w:b/>
          <w:color w:val="123F2E"/>
          <w:sz w:val="22"/>
        </w:rPr>
        <w:t>1. EXECUTIVE SUMMARY</w:t>
      </w:r>
    </w:p>
    <w:p>
      <w:pPr>
        <w:ind w:left="480"/>
      </w:pPr>
      <w:r>
        <w:rPr>
          <w:color w:val="52675E"/>
          <w:sz w:val="20"/>
        </w:rPr>
        <w:t>1.1 Non-Technical Executive Summary</w:t>
      </w:r>
    </w:p>
    <w:p>
      <w:pPr>
        <w:ind w:left="480"/>
      </w:pPr>
      <w:r>
        <w:rPr>
          <w:color w:val="52675E"/>
          <w:sz w:val="20"/>
        </w:rPr>
        <w:t>1.2 Key Impacts, Mitigation and Decision Readiness</w:t>
      </w:r>
    </w:p>
    <w:p>
      <w:r>
        <w:rPr>
          <w:b/>
          <w:color w:val="123F2E"/>
          <w:sz w:val="22"/>
        </w:rPr>
        <w:t>2. PROJECT DESCRIPTION</w:t>
      </w:r>
    </w:p>
    <w:p>
      <w:pPr>
        <w:ind w:left="480"/>
      </w:pPr>
      <w:r>
        <w:rPr>
          <w:color w:val="52675E"/>
          <w:sz w:val="20"/>
        </w:rPr>
        <w:t>2.1 Project Need, Objectives and Location</w:t>
      </w:r>
    </w:p>
    <w:p>
      <w:pPr>
        <w:ind w:left="480"/>
      </w:pPr>
      <w:r>
        <w:rPr>
          <w:color w:val="52675E"/>
          <w:sz w:val="20"/>
        </w:rPr>
        <w:t>2.2 Project Components, Layout and Design</w:t>
      </w:r>
    </w:p>
    <w:p>
      <w:pPr>
        <w:ind w:left="480"/>
      </w:pPr>
      <w:r>
        <w:rPr>
          <w:color w:val="52675E"/>
          <w:sz w:val="20"/>
        </w:rPr>
        <w:t>2.3 Construction, Operation and Decommissioning</w:t>
      </w:r>
    </w:p>
    <w:p>
      <w:pPr>
        <w:ind w:left="480"/>
      </w:pPr>
      <w:r>
        <w:rPr>
          <w:color w:val="52675E"/>
          <w:sz w:val="20"/>
        </w:rPr>
        <w:t>2.4 Inputs, Outputs, Emissions, Waste and Resources</w:t>
      </w:r>
    </w:p>
    <w:p>
      <w:pPr>
        <w:ind w:left="480"/>
      </w:pPr>
      <w:r>
        <w:rPr>
          <w:color w:val="52675E"/>
          <w:sz w:val="20"/>
        </w:rPr>
        <w:t>2.5 Programme, Workforce and Associated Facilities</w:t>
      </w:r>
    </w:p>
    <w:p>
      <w:r>
        <w:rPr>
          <w:b/>
          <w:color w:val="123F2E"/>
          <w:sz w:val="22"/>
        </w:rPr>
        <w:t>3. POLICY, LEGAL AND REGULATORY FRAMEWORK</w:t>
      </w:r>
    </w:p>
    <w:p>
      <w:pPr>
        <w:ind w:left="480"/>
      </w:pPr>
      <w:r>
        <w:rPr>
          <w:color w:val="52675E"/>
          <w:sz w:val="20"/>
        </w:rPr>
        <w:t>3.1 Applicable National and Local Requirements</w:t>
      </w:r>
    </w:p>
    <w:p>
      <w:pPr>
        <w:ind w:left="480"/>
      </w:pPr>
      <w:r>
        <w:rPr>
          <w:color w:val="52675E"/>
          <w:sz w:val="20"/>
        </w:rPr>
        <w:t>3.2 International Standards and Project Commitments</w:t>
      </w:r>
    </w:p>
    <w:p>
      <w:pPr>
        <w:ind w:left="480"/>
      </w:pPr>
      <w:r>
        <w:rPr>
          <w:color w:val="52675E"/>
          <w:sz w:val="20"/>
        </w:rPr>
        <w:t>3.3 Permits, Approvals and Compliance Obligations</w:t>
      </w:r>
    </w:p>
    <w:p>
      <w:r>
        <w:rPr>
          <w:b/>
          <w:color w:val="123F2E"/>
          <w:sz w:val="22"/>
        </w:rPr>
        <w:t>4. ALTERNATIVES ASSESSMENT</w:t>
      </w:r>
    </w:p>
    <w:p>
      <w:pPr>
        <w:ind w:left="480"/>
      </w:pPr>
      <w:r>
        <w:rPr>
          <w:color w:val="52675E"/>
          <w:sz w:val="20"/>
        </w:rPr>
        <w:t>4.1 No-Project Alternative</w:t>
      </w:r>
    </w:p>
    <w:p>
      <w:pPr>
        <w:ind w:left="480"/>
      </w:pPr>
      <w:r>
        <w:rPr>
          <w:color w:val="52675E"/>
          <w:sz w:val="20"/>
        </w:rPr>
        <w:t>4.2 Site, Design, Technology and Process Alternatives</w:t>
      </w:r>
    </w:p>
    <w:p>
      <w:pPr>
        <w:ind w:left="480"/>
      </w:pPr>
      <w:r>
        <w:rPr>
          <w:color w:val="52675E"/>
          <w:sz w:val="20"/>
        </w:rPr>
        <w:t>4.3 Comparison and Selection of the Preferred Alternative</w:t>
      </w:r>
    </w:p>
    <w:p>
      <w:r>
        <w:rPr>
          <w:b/>
          <w:color w:val="123F2E"/>
          <w:sz w:val="22"/>
        </w:rPr>
        <w:t>5. ENVIRONMENTAL AND SOCIAL BASELINE</w:t>
      </w:r>
    </w:p>
    <w:p>
      <w:pPr>
        <w:ind w:left="480"/>
      </w:pPr>
      <w:r>
        <w:rPr>
          <w:color w:val="52675E"/>
          <w:sz w:val="20"/>
        </w:rPr>
        <w:t>5.1 Study Area, Methods, Sources and Limitations</w:t>
      </w:r>
    </w:p>
    <w:p>
      <w:pPr>
        <w:ind w:left="480"/>
      </w:pPr>
      <w:r>
        <w:rPr>
          <w:color w:val="52675E"/>
          <w:sz w:val="20"/>
        </w:rPr>
        <w:t>5.2 Physical Environment</w:t>
      </w:r>
    </w:p>
    <w:p>
      <w:pPr>
        <w:ind w:left="480"/>
      </w:pPr>
      <w:r>
        <w:rPr>
          <w:color w:val="52675E"/>
          <w:sz w:val="20"/>
        </w:rPr>
        <w:t>5.3 Biodiversity and Ecosystem Services</w:t>
      </w:r>
    </w:p>
    <w:p>
      <w:pPr>
        <w:ind w:left="480"/>
      </w:pPr>
      <w:r>
        <w:rPr>
          <w:color w:val="52675E"/>
          <w:sz w:val="20"/>
        </w:rPr>
        <w:t>5.4 Social, Health, Cultural Heritage and Land Use</w:t>
      </w:r>
    </w:p>
    <w:p>
      <w:pPr>
        <w:ind w:left="480"/>
      </w:pPr>
      <w:r>
        <w:rPr>
          <w:color w:val="52675E"/>
          <w:sz w:val="20"/>
        </w:rPr>
        <w:t>5.5 Sensitive Receptors and Future Baseline</w:t>
      </w:r>
    </w:p>
    <w:p>
      <w:r>
        <w:rPr>
          <w:b/>
          <w:color w:val="123F2E"/>
          <w:sz w:val="22"/>
        </w:rPr>
        <w:t>6. IMPACT ASSESSMENT</w:t>
      </w:r>
    </w:p>
    <w:p>
      <w:pPr>
        <w:ind w:left="480"/>
      </w:pPr>
      <w:r>
        <w:rPr>
          <w:color w:val="52675E"/>
          <w:sz w:val="20"/>
        </w:rPr>
        <w:t>6.1 Scoping and Assessment Methodology</w:t>
      </w:r>
    </w:p>
    <w:p>
      <w:pPr>
        <w:ind w:left="480"/>
      </w:pPr>
      <w:r>
        <w:rPr>
          <w:color w:val="52675E"/>
          <w:sz w:val="20"/>
        </w:rPr>
        <w:t>6.2 Construction Impacts</w:t>
      </w:r>
    </w:p>
    <w:p>
      <w:pPr>
        <w:ind w:left="480"/>
      </w:pPr>
      <w:r>
        <w:rPr>
          <w:color w:val="52675E"/>
          <w:sz w:val="20"/>
        </w:rPr>
        <w:t>6.3 Operational Impacts</w:t>
      </w:r>
    </w:p>
    <w:p>
      <w:pPr>
        <w:ind w:left="480"/>
      </w:pPr>
      <w:r>
        <w:rPr>
          <w:color w:val="52675E"/>
          <w:sz w:val="20"/>
        </w:rPr>
        <w:t>6.4 Decommissioning, Accidents and Unplanned Events</w:t>
      </w:r>
    </w:p>
    <w:p>
      <w:pPr>
        <w:ind w:left="480"/>
      </w:pPr>
      <w:r>
        <w:rPr>
          <w:color w:val="52675E"/>
          <w:sz w:val="20"/>
        </w:rPr>
        <w:t>6.5 Impact Significance and Residual Effects</w:t>
      </w:r>
    </w:p>
    <w:p>
      <w:r>
        <w:rPr>
          <w:b/>
          <w:color w:val="123F2E"/>
          <w:sz w:val="22"/>
        </w:rPr>
        <w:t>7. MITIGATION AND ENVIRONMENTAL MANAGEMENT</w:t>
      </w:r>
    </w:p>
    <w:p>
      <w:pPr>
        <w:ind w:left="480"/>
      </w:pPr>
      <w:r>
        <w:rPr>
          <w:color w:val="52675E"/>
          <w:sz w:val="20"/>
        </w:rPr>
        <w:t>7.1 Mitigation Hierarchy and Commitments</w:t>
      </w:r>
    </w:p>
    <w:p>
      <w:pPr>
        <w:ind w:left="480"/>
      </w:pPr>
      <w:r>
        <w:rPr>
          <w:color w:val="52675E"/>
          <w:sz w:val="20"/>
        </w:rPr>
        <w:t>7.2 Environmental and Social Management Plan</w:t>
      </w:r>
    </w:p>
    <w:p>
      <w:pPr>
        <w:ind w:left="480"/>
      </w:pPr>
      <w:r>
        <w:rPr>
          <w:color w:val="52675E"/>
          <w:sz w:val="20"/>
        </w:rPr>
        <w:t>7.3 Responsibilities, Resources and Corrective Action</w:t>
      </w:r>
    </w:p>
    <w:p>
      <w:r>
        <w:rPr>
          <w:b/>
          <w:color w:val="123F2E"/>
          <w:sz w:val="22"/>
        </w:rPr>
        <w:t>8. MONITORING PROGRAMME</w:t>
      </w:r>
    </w:p>
    <w:p>
      <w:pPr>
        <w:ind w:left="480"/>
      </w:pPr>
      <w:r>
        <w:rPr>
          <w:color w:val="52675E"/>
          <w:sz w:val="20"/>
        </w:rPr>
        <w:t>8.1 Monitoring Indicators, Methods and Locations</w:t>
      </w:r>
    </w:p>
    <w:p>
      <w:pPr>
        <w:ind w:left="480"/>
      </w:pPr>
      <w:r>
        <w:rPr>
          <w:color w:val="52675E"/>
          <w:sz w:val="20"/>
        </w:rPr>
        <w:t>8.2 Thresholds, Frequency, Reporting and Response</w:t>
      </w:r>
    </w:p>
    <w:p>
      <w:r>
        <w:rPr>
          <w:b/>
          <w:color w:val="123F2E"/>
          <w:sz w:val="22"/>
        </w:rPr>
        <w:t>9. CUMULATIVE IMPACTS</w:t>
      </w:r>
    </w:p>
    <w:p>
      <w:pPr>
        <w:ind w:left="480"/>
      </w:pPr>
      <w:r>
        <w:rPr>
          <w:color w:val="52675E"/>
          <w:sz w:val="20"/>
        </w:rPr>
        <w:t>9.1 Other Developments and Valued Receptors</w:t>
      </w:r>
    </w:p>
    <w:p>
      <w:pPr>
        <w:ind w:left="480"/>
      </w:pPr>
      <w:r>
        <w:rPr>
          <w:color w:val="52675E"/>
          <w:sz w:val="20"/>
        </w:rPr>
        <w:t>9.2 Cumulative Effects, Mitigation and Residual Risk</w:t>
      </w:r>
    </w:p>
    <w:p>
      <w:r>
        <w:rPr>
          <w:b/>
          <w:color w:val="123F2E"/>
          <w:sz w:val="22"/>
        </w:rPr>
        <w:t>10. CLIMATE, CARBON AND RESILIENCE</w:t>
      </w:r>
    </w:p>
    <w:p>
      <w:pPr>
        <w:ind w:left="480"/>
      </w:pPr>
      <w:r>
        <w:rPr>
          <w:color w:val="52675E"/>
          <w:sz w:val="20"/>
        </w:rPr>
        <w:t>10.1 Greenhouse Gas Emissions and Mitigation</w:t>
      </w:r>
    </w:p>
    <w:p>
      <w:pPr>
        <w:ind w:left="480"/>
      </w:pPr>
      <w:r>
        <w:rPr>
          <w:color w:val="52675E"/>
          <w:sz w:val="20"/>
        </w:rPr>
        <w:t>10.2 Climate Risk, Adaptation and Resilience</w:t>
      </w:r>
    </w:p>
    <w:p>
      <w:r>
        <w:rPr>
          <w:b/>
          <w:color w:val="123F2E"/>
          <w:sz w:val="22"/>
        </w:rPr>
        <w:t>11. STAKEHOLDER AND CONSULTATION RECORD</w:t>
      </w:r>
    </w:p>
    <w:p>
      <w:pPr>
        <w:ind w:left="480"/>
      </w:pPr>
      <w:r>
        <w:rPr>
          <w:color w:val="52675E"/>
          <w:sz w:val="20"/>
        </w:rPr>
        <w:t>11.1 Stakeholder Identification and Engagement</w:t>
      </w:r>
    </w:p>
    <w:p>
      <w:pPr>
        <w:ind w:left="480"/>
      </w:pPr>
      <w:r>
        <w:rPr>
          <w:color w:val="52675E"/>
          <w:sz w:val="20"/>
        </w:rPr>
        <w:t>11.2 Issues Raised, Responses and Commitments</w:t>
      </w:r>
    </w:p>
    <w:p>
      <w:pPr>
        <w:ind w:left="480"/>
      </w:pPr>
      <w:r>
        <w:rPr>
          <w:color w:val="52675E"/>
          <w:sz w:val="20"/>
        </w:rPr>
        <w:t>11.3 Grievance and Ongoing Engagement</w:t>
      </w:r>
    </w:p>
    <w:p>
      <w:r>
        <w:rPr>
          <w:b/>
          <w:color w:val="123F2E"/>
          <w:sz w:val="22"/>
        </w:rPr>
        <w:t>12. COMPLIANCE MATRIX</w:t>
      </w:r>
    </w:p>
    <w:p>
      <w:pPr>
        <w:ind w:left="480"/>
      </w:pPr>
      <w:r>
        <w:rPr>
          <w:color w:val="52675E"/>
          <w:sz w:val="20"/>
        </w:rPr>
        <w:t>12.1 Requirement-to-Evidence Compliance Matrix</w:t>
      </w:r>
    </w:p>
    <w:p>
      <w:pPr>
        <w:ind w:left="480"/>
      </w:pPr>
      <w:r>
        <w:rPr>
          <w:color w:val="52675E"/>
          <w:sz w:val="20"/>
        </w:rPr>
        <w:t>12.2 Outstanding Obligations and Actions</w:t>
      </w:r>
    </w:p>
    <w:p>
      <w:r>
        <w:rPr>
          <w:b/>
          <w:color w:val="123F2E"/>
          <w:sz w:val="22"/>
        </w:rPr>
        <w:t>13. ENVIRONMENTAL INTELLIGENCE AND QA</w:t>
      </w:r>
    </w:p>
    <w:p>
      <w:pPr>
        <w:ind w:left="480"/>
      </w:pPr>
      <w:r>
        <w:rPr>
          <w:color w:val="52675E"/>
          <w:sz w:val="20"/>
        </w:rPr>
        <w:t>13.1 Evidence Traceability and Quality Assurance</w:t>
      </w:r>
    </w:p>
    <w:p>
      <w:pPr>
        <w:ind w:left="480"/>
      </w:pPr>
      <w:r>
        <w:rPr>
          <w:color w:val="52675E"/>
          <w:sz w:val="20"/>
        </w:rPr>
        <w:t>13.2 Data Gaps, Uncertainty and AI Transparency</w:t>
      </w:r>
    </w:p>
    <w:p>
      <w:pPr>
        <w:ind w:left="480"/>
      </w:pPr>
      <w:r>
        <w:rPr>
          <w:color w:val="52675E"/>
          <w:sz w:val="20"/>
        </w:rPr>
        <w:t>13.3 Professional Review and Reviewer Decisions</w:t>
      </w:r>
    </w:p>
    <w:p>
      <w:r>
        <w:rPr>
          <w:b/>
          <w:color w:val="123F2E"/>
          <w:sz w:val="22"/>
        </w:rPr>
        <w:t>14. CONCLUSIONS AND DECISION READINESS</w:t>
      </w:r>
    </w:p>
    <w:p>
      <w:pPr>
        <w:ind w:left="480"/>
      </w:pPr>
      <w:r>
        <w:rPr>
          <w:color w:val="52675E"/>
          <w:sz w:val="20"/>
        </w:rPr>
        <w:t>14.1 Overall Conclusions and Residual Effects</w:t>
      </w:r>
    </w:p>
    <w:p>
      <w:pPr>
        <w:ind w:left="480"/>
      </w:pPr>
      <w:r>
        <w:rPr>
          <w:color w:val="52675E"/>
          <w:sz w:val="20"/>
        </w:rPr>
        <w:t>14.2 Conditions, Priority Actions and Decision Readiness</w:t>
      </w:r>
    </w:p>
    <w:p>
      <w:r>
        <w:rPr>
          <w:b/>
          <w:color w:val="123F2E"/>
          <w:sz w:val="22"/>
        </w:rPr>
        <w:t>A. APPENDICES AND EVIDENCE REGISTER</w:t>
      </w:r>
    </w:p>
    <w:p>
      <w:pPr>
        <w:ind w:left="480"/>
      </w:pPr>
      <w:r>
        <w:rPr>
          <w:color w:val="52675E"/>
          <w:sz w:val="20"/>
        </w:rPr>
        <w:t>A.1 Appendix Schedule</w:t>
      </w:r>
    </w:p>
    <w:p>
      <w:pPr>
        <w:ind w:left="480"/>
      </w:pPr>
      <w:r>
        <w:rPr>
          <w:color w:val="52675E"/>
          <w:sz w:val="20"/>
        </w:rPr>
        <w:t>A.2 Evidence Register</w:t>
      </w:r>
    </w:p>
    <w:p>
      <w:pPr>
        <w:ind w:left="480"/>
      </w:pPr>
      <w:r>
        <w:rPr>
          <w:color w:val="52675E"/>
          <w:sz w:val="20"/>
        </w:rPr>
        <w:t>A.3 Figures, Tables and Supporting Records</w:t>
      </w:r>
    </w:p>
    <w:p>
      <w:r>
        <w:br w:type="page"/>
      </w:r>
    </w:p>
    <w:p>
      <w:pPr>
        <w:pStyle w:val="Heading1"/>
      </w:pPr>
      <w:r>
        <w:t>Executive Summary</w:t>
      </w:r>
    </w:p>
    <w:p>
      <w:r>
        <w:rPr>
          <w:b w:val="0"/>
          <w:i w:val="0"/>
        </w:rPr>
        <w:t>The Kuwait EIA End-to-End Demonstration project is an illustrative environmental impact assessment (EIA) conducted for a proposed infrastructure development in the State of Kuwait. This demonstration encompasses all project phases including construction, commissioning, operation, and eventual closure, focusing on potential interactions with environmental and social receptors. The primary objective is to deliver the facility while managing impacts related to land use, resource consumption, emissions, waste generation, traffic, and community well-being throughout the project lifecycle. The assessment employs EnviroQuant tools for environmental assessment, evidence traceability, quality review, and controlled report export, serving as a demonstration of comprehensive EIA processes.</w:t>
      </w:r>
    </w:p>
    <w:p>
      <w:pPr>
        <w:pStyle w:val="Heading5"/>
      </w:pPr>
      <w:r>
        <w:rPr>
          <w:b w:val="0"/>
          <w:i w:val="0"/>
        </w:rPr>
        <w:t>Assessment Scope and Approach</w:t>
      </w:r>
    </w:p>
    <w:p>
      <w:r>
        <w:rPr>
          <w:b w:val="0"/>
          <w:i w:val="0"/>
        </w:rPr>
        <w:t>The assessment covers the full project lifecycle phases—construction, operation, and decommissioning—evaluating potential environmental and social impacts. It includes an alternatives assessment comparing the no-project scenario with feasible site, design, technology, and operational options, assessed against criteria such as land take, sensitive receptors, resource efficiency, pollution, climate resilience, community effects, constructability, and cost. The scope extends to policy, legal, and regulatory frameworks applicable in Kuwait, including national laws and international standards. The baseline study area encompasses the project footprint, associated facilities, transport routes, and wider zones potentially affected by direct, indirect, or cumulative effects. The assessment methodology links project activities to environmental and social receptors, considering magnitude, sensitivity, extent, duration, frequency, reversibility, likelihood, and confidence, and distinguishes pre-mitigation and residual effects. Stakeholder engagement, monitoring, and compliance obligations are integral to the scope.</w:t>
      </w:r>
    </w:p>
    <w:p>
      <w:pPr>
        <w:pStyle w:val="Heading5"/>
      </w:pPr>
      <w:r>
        <w:rPr>
          <w:b w:val="0"/>
          <w:i w:val="0"/>
        </w:rPr>
        <w:t>Baseline Conditions</w:t>
      </w:r>
    </w:p>
    <w:p>
      <w:r>
        <w:rPr>
          <w:b w:val="0"/>
          <w:i w:val="0"/>
        </w:rPr>
        <w:t>Baseline conditions describe current land use, soils, water, air quality, noise levels, biodiversity, cultural heritage, material assets, and socio-economic factors within the study area. Data sources include field surveys, specialist studies, permits, and consultation records. The baseline accounts for seasonal variations and identifies vulnerable receptors. Limitations include the need to confirm final quantities, coordinates, and thresholds against approved design data and authority requirements. Data gaps and assumptions are acknowledged but not detailed in this demonstration.</w:t>
      </w:r>
    </w:p>
    <w:p>
      <w:pPr>
        <w:pStyle w:val="Heading5"/>
      </w:pPr>
      <w:r>
        <w:rPr>
          <w:b w:val="0"/>
          <w:i w:val="0"/>
        </w:rPr>
        <w:t>Key Environmental and Social Effects</w:t>
      </w:r>
    </w:p>
    <w:p>
      <w:pPr>
        <w:pStyle w:val="ListBullet"/>
      </w:pPr>
      <w:r>
        <w:rPr>
          <w:b w:val="0"/>
          <w:i w:val="0"/>
        </w:rPr>
        <w:t>Land disturbance and habitat alteration during construction phases</w:t>
      </w:r>
    </w:p>
    <w:p>
      <w:pPr>
        <w:pStyle w:val="ListBullet"/>
      </w:pPr>
      <w:r>
        <w:rPr>
          <w:b w:val="0"/>
          <w:i w:val="0"/>
        </w:rPr>
        <w:t>Increased traffic and associated emissions impacting air quality and noise levels</w:t>
      </w:r>
    </w:p>
    <w:p>
      <w:pPr>
        <w:pStyle w:val="ListBullet"/>
      </w:pPr>
      <w:r>
        <w:rPr>
          <w:b w:val="0"/>
          <w:i w:val="0"/>
        </w:rPr>
        <w:t>Resource consumption including materials, water, and energy throughout project lifecycle</w:t>
      </w:r>
    </w:p>
    <w:p>
      <w:pPr>
        <w:pStyle w:val="ListBullet"/>
      </w:pPr>
      <w:r>
        <w:rPr>
          <w:b w:val="0"/>
          <w:i w:val="0"/>
        </w:rPr>
        <w:t>Generation of waste and emissions requiring management to prevent environmental degradation</w:t>
      </w:r>
    </w:p>
    <w:p>
      <w:pPr>
        <w:pStyle w:val="ListBullet"/>
      </w:pPr>
      <w:r>
        <w:rPr>
          <w:b w:val="0"/>
          <w:i w:val="0"/>
        </w:rPr>
        <w:t>Potential impacts on biodiversity and ecosystem services in the project vicinity</w:t>
      </w:r>
    </w:p>
    <w:p>
      <w:pPr>
        <w:pStyle w:val="ListBullet"/>
      </w:pPr>
      <w:r>
        <w:rPr>
          <w:b w:val="0"/>
          <w:i w:val="0"/>
        </w:rPr>
        <w:t>Social and community effects including workforce influx and changes in land use</w:t>
      </w:r>
    </w:p>
    <w:p>
      <w:pPr>
        <w:pStyle w:val="ListBullet"/>
      </w:pPr>
      <w:r>
        <w:rPr>
          <w:b w:val="0"/>
          <w:i w:val="0"/>
        </w:rPr>
        <w:t>Risks associated with decommissioning, accidents, and unplanned events affecting environmental and social receptors</w:t>
      </w:r>
    </w:p>
    <w:p>
      <w:pPr>
        <w:pStyle w:val="Heading5"/>
      </w:pPr>
      <w:r>
        <w:rPr>
          <w:b w:val="0"/>
          <w:i w:val="0"/>
        </w:rPr>
        <w:t>Alternatives</w:t>
      </w:r>
    </w:p>
    <w:p>
      <w:r>
        <w:rPr>
          <w:b w:val="0"/>
          <w:i w:val="0"/>
        </w:rPr>
        <w:t>The assessment includes a structured alternatives analysis comparing the no-project option with various feasible alternatives in site selection, design layout, technology, and operational processes. Each alternative is evaluated consistently against environmental and social criteria such as land take, sensitive receptors, resource efficiency, pollution potential, climate resilience, community impacts, constructability, and cost. The preferred alternative is selected based on its superior ability to avoid or minimize adverse impacts prior to mitigation. Documentation includes an alternatives matrix, rationale for rejecting options, and records of decision-makers and consultation inputs. However, specific alternative options and comparative data are not provided in this demonstration.</w:t>
      </w:r>
    </w:p>
    <w:p>
      <w:pPr>
        <w:pStyle w:val="Heading5"/>
      </w:pPr>
      <w:r>
        <w:rPr>
          <w:b w:val="0"/>
          <w:i w:val="0"/>
        </w:rPr>
        <w:t>Mitigation and Monitoring</w:t>
      </w:r>
    </w:p>
    <w:p>
      <w:r>
        <w:rPr>
          <w:b w:val="0"/>
          <w:i w:val="0"/>
        </w:rPr>
        <w:t>Mitigation follows a hierarchy prioritizing avoidance, minimization, restoration, and where necessary, compensation for significant residual effects. Commitments are to be specific, measurable, and linked to responsible owners, implementation phases, completion dates, performance indicators, and corrective action triggers. Environmental and social management plans are developed in alignment with Kuwait’s regulatory framework, including Environmental Protection Law No. 42 of 2014 and related executive regulations. Monitoring programs define indicators, methods, locations, thresholds, frequency, reporting protocols, and response actions to ensure compliance and adaptive management. The assessment emphasizes controlling pollution, protecting sensitive areas, and providing mechanisms for stakeholder concerns. Detailed mitigation measures and monitoring specifics require confirmation against final project data and regulatory approvals.</w:t>
      </w:r>
    </w:p>
    <w:p>
      <w:pPr>
        <w:pStyle w:val="Heading5"/>
      </w:pPr>
      <w:r>
        <w:rPr>
          <w:b w:val="0"/>
          <w:i w:val="0"/>
        </w:rPr>
        <w:t>Conclusion and Limitations</w:t>
      </w:r>
    </w:p>
    <w:p>
      <w:r>
        <w:rPr>
          <w:b w:val="0"/>
          <w:i w:val="0"/>
        </w:rPr>
        <w:t>The demonstration concludes that with the preferred design and committed mitigation measures, the project’s environmental and social impacts can be effectively managed to acceptable levels. Residual effects are anticipated to be minimized through adherence to regulatory requirements and implementation of the environmental and social management plan. Limitations include the illustrative nature of the assessment, with project-specific values requiring verification and confirmation against approved design data, permits, and authority requirements. Data gaps, uncertainties, and assumptions are acknowledged but not fully detailed. The report underscores the necessity of professional review, quality assurance, and ongoing stakeholder engagement to ensure decision readiness and compliance. The final controlled issue must integrate verified data, legal registers, and comprehensive evidence to support informed decision-making.</w:t>
      </w:r>
    </w:p>
    <w:p>
      <w:pPr>
        <w:pStyle w:val="Heading1"/>
      </w:pPr>
      <w:r>
        <w:t>Report Dashboard</w:t>
      </w:r>
    </w:p>
    <w:p>
      <w:pPr>
        <w:spacing w:after="240"/>
      </w:pPr>
      <w:r>
        <w:t>The following charts summarize the size and structure of the compiled assessment. They describe report composition and do not represent environmental performance ratings.</w:t>
      </w:r>
    </w:p>
    <w:p>
      <w:pPr>
        <w:jc w:val="center"/>
      </w:pPr>
      <w:r>
        <w:drawing>
          <wp:inline xmlns:a="http://schemas.openxmlformats.org/drawingml/2006/main" xmlns:pic="http://schemas.openxmlformats.org/drawingml/2006/picture">
            <wp:extent cx="5577840" cy="5391912"/>
            <wp:docPr id="1" name="Picture 1" descr="Horizontal bar chart showing word count for each EIA sect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5391912"/>
                    </a:xfrm>
                    <a:prstGeom prst="rect"/>
                  </pic:spPr>
                </pic:pic>
              </a:graphicData>
            </a:graphic>
          </wp:inline>
        </w:drawing>
      </w:r>
    </w:p>
    <w:p>
      <w:pPr>
        <w:jc w:val="center"/>
      </w:pPr>
      <w:r>
        <w:rPr>
          <w:i/>
          <w:color w:val="697A73"/>
          <w:sz w:val="16"/>
        </w:rPr>
        <w:t>Horizontal bar chart showing word count for each EIA section.</w:t>
      </w:r>
    </w:p>
    <w:p>
      <w:pPr>
        <w:jc w:val="center"/>
      </w:pPr>
      <w:r>
        <w:drawing>
          <wp:inline xmlns:a="http://schemas.openxmlformats.org/drawingml/2006/main" xmlns:pic="http://schemas.openxmlformats.org/drawingml/2006/picture">
            <wp:extent cx="5577840" cy="2677363"/>
            <wp:docPr id="2" name="Picture 2" descr="Donut chart showing the number of subsections in each EIA sec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677363"/>
                    </a:xfrm>
                    <a:prstGeom prst="rect"/>
                  </pic:spPr>
                </pic:pic>
              </a:graphicData>
            </a:graphic>
          </wp:inline>
        </w:drawing>
      </w:r>
    </w:p>
    <w:p>
      <w:pPr>
        <w:jc w:val="center"/>
      </w:pPr>
      <w:r>
        <w:rPr>
          <w:i/>
          <w:color w:val="697A73"/>
          <w:sz w:val="16"/>
        </w:rPr>
        <w:t>Donut chart showing the number of subsections in each EIA section.</w:t>
      </w:r>
    </w:p>
    <w:p>
      <w:pPr>
        <w:pStyle w:val="Heading1"/>
      </w:pPr>
      <w:r>
        <w:t>Environmental Intelligence Snapshot</w:t>
      </w:r>
    </w:p>
    <w:p>
      <w:r>
        <w:t>No completed RQEIA quality review is linked to this report. Quality, compliance and decision-readiness conclusions must therefore be established through a completed review before controlled issue.</w:t>
      </w:r>
    </w:p>
    <w:tbl>
      <w:tblPr>
        <w:tblStyle w:val="TableGrid"/>
        <w:tblW w:type="auto" w:w="0"/>
        <w:tblLook w:firstColumn="1" w:firstRow="1" w:lastColumn="0" w:lastRow="0" w:noHBand="0" w:noVBand="1" w:val="04A0"/>
      </w:tblPr>
      <w:tblGrid>
        <w:gridCol w:w="2191"/>
        <w:gridCol w:w="2191"/>
        <w:gridCol w:w="2191"/>
        <w:gridCol w:w="2191"/>
      </w:tblGrid>
      <w:tr>
        <w:tc>
          <w:tcPr>
            <w:tcW w:type="dxa" w:w="2191"/>
            <w:shd w:fill="123F2E"/>
          </w:tcPr>
          <w:p>
            <w:r>
              <w:rPr>
                <w:b/>
                <w:color w:val="FFFFFF"/>
              </w:rPr>
              <w:t>RQEIA quality</w:t>
            </w:r>
          </w:p>
        </w:tc>
        <w:tc>
          <w:tcPr>
            <w:tcW w:type="dxa" w:w="2191"/>
            <w:shd w:fill="123F2E"/>
          </w:tcPr>
          <w:p>
            <w:r>
              <w:rPr>
                <w:b/>
                <w:color w:val="FFFFFF"/>
              </w:rPr>
              <w:t>Evidence coverage</w:t>
            </w:r>
          </w:p>
        </w:tc>
        <w:tc>
          <w:tcPr>
            <w:tcW w:type="dxa" w:w="2191"/>
            <w:shd w:fill="123F2E"/>
          </w:tcPr>
          <w:p>
            <w:r>
              <w:rPr>
                <w:b/>
                <w:color w:val="FFFFFF"/>
              </w:rPr>
              <w:t>Open gaps</w:t>
            </w:r>
          </w:p>
        </w:tc>
        <w:tc>
          <w:tcPr>
            <w:tcW w:type="dxa" w:w="2191"/>
            <w:shd w:fill="123F2E"/>
          </w:tcPr>
          <w:p>
            <w:r>
              <w:rPr>
                <w:b/>
                <w:color w:val="FFFFFF"/>
              </w:rPr>
              <w:t>Reviewer status</w:t>
            </w:r>
          </w:p>
        </w:tc>
      </w:tr>
      <w:tr>
        <w:tc>
          <w:tcPr>
            <w:tcW w:type="dxa" w:w="2191"/>
            <w:shd w:fill="FFFFFF"/>
          </w:tcPr>
          <w:p>
            <w:r>
              <w:rPr>
                <w:color w:val="18372C"/>
              </w:rPr>
              <w:t>Not assessed</w:t>
            </w:r>
          </w:p>
        </w:tc>
        <w:tc>
          <w:tcPr>
            <w:tcW w:type="dxa" w:w="2191"/>
            <w:shd w:fill="FFFFFF"/>
          </w:tcPr>
          <w:p>
            <w:r>
              <w:rPr>
                <w:color w:val="18372C"/>
              </w:rPr>
              <w:t>Not assessed</w:t>
            </w:r>
          </w:p>
        </w:tc>
        <w:tc>
          <w:tcPr>
            <w:tcW w:type="dxa" w:w="2191"/>
            <w:shd w:fill="FFFFFF"/>
          </w:tcPr>
          <w:p>
            <w:r>
              <w:rPr>
                <w:color w:val="18372C"/>
              </w:rPr>
              <w:t>Review required</w:t>
            </w:r>
          </w:p>
        </w:tc>
        <w:tc>
          <w:tcPr>
            <w:tcW w:type="dxa" w:w="2191"/>
            <w:shd w:fill="FFFFFF"/>
          </w:tcPr>
          <w:p>
            <w:r>
              <w:rPr>
                <w:color w:val="18372C"/>
              </w:rPr>
              <w:t>Pending</w:t>
            </w:r>
          </w:p>
        </w:tc>
      </w:tr>
    </w:tbl>
    <w:p>
      <w:r>
        <w:br w:type="page"/>
      </w:r>
    </w:p>
    <w:p>
      <w:pPr>
        <w:pStyle w:val="Heading1"/>
      </w:pPr>
      <w:r>
        <w:t>1. EXECUTIVE SUMMARY</w:t>
      </w:r>
    </w:p>
    <w:p>
      <w:pPr>
        <w:pStyle w:val="Heading2"/>
      </w:pPr>
      <w:r>
        <w:t>1.1 Non-Technical Executive Summary</w:t>
      </w:r>
    </w:p>
    <w:p>
      <w:pPr>
        <w:pStyle w:val="Heading5"/>
      </w:pPr>
      <w:r>
        <w:rPr>
          <w:b w:val="0"/>
          <w:i w:val="0"/>
        </w:rPr>
        <w:t>Assessment response</w:t>
      </w:r>
    </w:p>
    <w:p>
      <w:r>
        <w:rPr>
          <w:b/>
          <w:i w:val="0"/>
        </w:rPr>
        <w:t>Demonstration scope:</w:t>
      </w:r>
      <w:r>
        <w:rPr>
          <w:b w:val="0"/>
          <w:i w:val="0"/>
        </w:rPr>
        <w:t xml:space="preserve"> This illustrative response addresses whether non-technical executive summary. It shows the expected structure and level of explanation; project-specific values require verification.</w:t>
      </w:r>
    </w:p>
    <w:p>
      <w:r>
        <w:rPr>
          <w:b w:val="0"/>
          <w:i w:val="0"/>
        </w:rPr>
        <w:t>Kuwait EIA End-to-End Demo is presented as a proposed development at State of Kuwait / Kuwait.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2"/>
      </w:pPr>
      <w:r>
        <w:t>1.2 Key Impacts, Mitigation and Decision Readiness</w:t>
      </w:r>
    </w:p>
    <w:p>
      <w:pPr>
        <w:pStyle w:val="Heading5"/>
      </w:pPr>
      <w:r>
        <w:rPr>
          <w:b w:val="0"/>
          <w:i w:val="0"/>
        </w:rPr>
        <w:t>Assessment response</w:t>
      </w:r>
    </w:p>
    <w:p>
      <w:r>
        <w:rPr>
          <w:b/>
          <w:i w:val="0"/>
        </w:rPr>
        <w:t>Demonstration scope:</w:t>
      </w:r>
      <w:r>
        <w:rPr>
          <w:b w:val="0"/>
          <w:i w:val="0"/>
        </w:rPr>
        <w:t xml:space="preserve"> This illustrative response addresses whether key impacts, mitigation and decision readiness. It shows the expected structure and level of explanation; project-specific values require verification.</w:t>
      </w:r>
    </w:p>
    <w:p>
      <w:r>
        <w:rPr>
          <w:b w:val="0"/>
          <w:i w:val="0"/>
        </w:rPr>
        <w:t>Kuwait EIA End-to-End Demo is presented as a proposed development at State of Kuwait / Kuwait. This demonstration assessment describes the construction, commissioning, operation and eventual closure activities that could interact with environmental and social receptors. The project need is to deliver the proposed facility while controlling land, resource, emissions, waste, traffic and community impacts through its full life cycle.</w:t>
      </w:r>
    </w:p>
    <w:p>
      <w:pPr>
        <w:pStyle w:val="Heading5"/>
      </w:pPr>
      <w:r>
        <w:rPr>
          <w:b w:val="0"/>
          <w:i w:val="0"/>
        </w:rPr>
        <w:t>Information to include in the controlled issue</w:t>
      </w:r>
    </w:p>
    <w:p>
      <w:pPr>
        <w:pStyle w:val="ListBullet"/>
      </w:pPr>
      <w:r>
        <w:rPr>
          <w:b w:val="0"/>
          <w:i w:val="0"/>
        </w:rPr>
        <w:t>Confirm the final design basis, footprint, schedule and workforce profile.</w:t>
      </w:r>
    </w:p>
    <w:p>
      <w:pPr>
        <w:pStyle w:val="ListBullet"/>
      </w:pPr>
      <w:r>
        <w:rPr>
          <w:b w:val="0"/>
          <w:i w:val="0"/>
        </w:rPr>
        <w:t>Insert approved layout drawings, access routes, utilities and temporary work areas.</w:t>
      </w:r>
    </w:p>
    <w:p>
      <w:pPr>
        <w:pStyle w:val="ListBullet"/>
      </w:pPr>
      <w:r>
        <w:rPr>
          <w:b w:val="0"/>
          <w:i w:val="0"/>
        </w:rPr>
        <w:t>Quantify material, water, energy, waste, emission and traffic estimates by phase.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 — EXECUTIVE SUMMARY.</w:t>
      </w:r>
    </w:p>
    <w:p/>
    <w:p>
      <w:pPr>
        <w:pStyle w:val="Heading1"/>
      </w:pPr>
      <w:r>
        <w:t>2. PROJECT DESCRIPTION</w:t>
      </w:r>
    </w:p>
    <w:p>
      <w:pPr>
        <w:pStyle w:val="Heading2"/>
      </w:pPr>
      <w:r>
        <w:t>2.1 Project Need, Objectives and Location</w:t>
      </w:r>
    </w:p>
    <w:p>
      <w:pPr>
        <w:pStyle w:val="Heading5"/>
      </w:pPr>
      <w:r>
        <w:rPr>
          <w:b w:val="0"/>
          <w:i w:val="0"/>
        </w:rPr>
        <w:t>Assessment response</w:t>
      </w:r>
    </w:p>
    <w:p>
      <w:r>
        <w:rPr>
          <w:b/>
          <w:i w:val="0"/>
        </w:rPr>
        <w:t>Demonstration scope:</w:t>
      </w:r>
      <w:r>
        <w:rPr>
          <w:b w:val="0"/>
          <w:i w:val="0"/>
        </w:rPr>
        <w:t xml:space="preserve"> This illustrative response addresses whether project need, objectives and location.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2.2 Project Components, Layout and Design</w:t>
      </w:r>
    </w:p>
    <w:p>
      <w:pPr>
        <w:pStyle w:val="Heading5"/>
      </w:pPr>
      <w:r>
        <w:rPr>
          <w:b w:val="0"/>
          <w:i w:val="0"/>
        </w:rPr>
        <w:t>Assessment response</w:t>
      </w:r>
    </w:p>
    <w:p>
      <w:r>
        <w:rPr>
          <w:b/>
          <w:i w:val="0"/>
        </w:rPr>
        <w:t>Demonstration scope:</w:t>
      </w:r>
      <w:r>
        <w:rPr>
          <w:b w:val="0"/>
          <w:i w:val="0"/>
        </w:rPr>
        <w:t xml:space="preserve"> This illustrative response addresses whether project components, layout and design.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2.3 Construction, Operation and Decommissioning</w:t>
      </w:r>
    </w:p>
    <w:p>
      <w:pPr>
        <w:pStyle w:val="Heading5"/>
      </w:pPr>
      <w:r>
        <w:rPr>
          <w:b w:val="0"/>
          <w:i w:val="0"/>
        </w:rPr>
        <w:t>Assessment response</w:t>
      </w:r>
    </w:p>
    <w:p>
      <w:r>
        <w:rPr>
          <w:b/>
          <w:i w:val="0"/>
        </w:rPr>
        <w:t>Demonstration scope:</w:t>
      </w:r>
      <w:r>
        <w:rPr>
          <w:b w:val="0"/>
          <w:i w:val="0"/>
        </w:rPr>
        <w:t xml:space="preserve"> This illustrative response addresses whether construction, operation and decommissioning.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2.4 Inputs, Outputs, Emissions, Waste and Resources</w:t>
      </w:r>
    </w:p>
    <w:p>
      <w:pPr>
        <w:pStyle w:val="Heading5"/>
      </w:pPr>
      <w:r>
        <w:rPr>
          <w:b w:val="0"/>
          <w:i w:val="0"/>
        </w:rPr>
        <w:t>Assessment response</w:t>
      </w:r>
    </w:p>
    <w:p>
      <w:r>
        <w:rPr>
          <w:b/>
          <w:i w:val="0"/>
        </w:rPr>
        <w:t>Demonstration scope:</w:t>
      </w:r>
      <w:r>
        <w:rPr>
          <w:b w:val="0"/>
          <w:i w:val="0"/>
        </w:rPr>
        <w:t xml:space="preserve"> This illustrative response addresses whether inputs, outputs, emissions, waste and resources.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2"/>
      </w:pPr>
      <w:r>
        <w:t>2.5 Programme, Workforce and Associated Facilities</w:t>
      </w:r>
    </w:p>
    <w:p>
      <w:pPr>
        <w:pStyle w:val="Heading5"/>
      </w:pPr>
      <w:r>
        <w:rPr>
          <w:b w:val="0"/>
          <w:i w:val="0"/>
        </w:rPr>
        <w:t>Assessment response</w:t>
      </w:r>
    </w:p>
    <w:p>
      <w:r>
        <w:rPr>
          <w:b/>
          <w:i w:val="0"/>
        </w:rPr>
        <w:t>Demonstration scope:</w:t>
      </w:r>
      <w:r>
        <w:rPr>
          <w:b w:val="0"/>
          <w:i w:val="0"/>
        </w:rPr>
        <w:t xml:space="preserve"> This illustrative response addresses whether programme, workforce and associated facilities. It shows the expected structure and level of explanation; project-specific values require verification.</w:t>
      </w:r>
    </w:p>
    <w:p>
      <w:r>
        <w:rPr>
          <w:b w:val="0"/>
          <w:i w:val="0"/>
        </w:rPr>
        <w:t>The alternatives assessment compares the no-project option with feasible site, layout, technology, construction and operating options. Each option should be assessed consistently for land take, sensitive receptors, resource efficiency, pollution, climate resilience, community effects, constructability and cost. The preferred option should be the one that best avoids impacts before relying on mitigation.</w:t>
      </w:r>
    </w:p>
    <w:p>
      <w:pPr>
        <w:pStyle w:val="Heading5"/>
      </w:pPr>
      <w:r>
        <w:rPr>
          <w:b w:val="0"/>
          <w:i w:val="0"/>
        </w:rPr>
        <w:t>Information to include in the controlled issue</w:t>
      </w:r>
    </w:p>
    <w:p>
      <w:pPr>
        <w:pStyle w:val="ListBullet"/>
      </w:pPr>
      <w:r>
        <w:rPr>
          <w:b w:val="0"/>
          <w:i w:val="0"/>
        </w:rPr>
        <w:t>Add an alternatives matrix with consistent environmental and social criteria.</w:t>
      </w:r>
    </w:p>
    <w:p>
      <w:pPr>
        <w:pStyle w:val="ListBullet"/>
      </w:pPr>
      <w:r>
        <w:rPr>
          <w:b w:val="0"/>
          <w:i w:val="0"/>
        </w:rPr>
        <w:t>Document the no-project scenario and reasons rejected options were not carried forward.</w:t>
      </w:r>
    </w:p>
    <w:p>
      <w:pPr>
        <w:pStyle w:val="ListBullet"/>
      </w:pPr>
      <w:r>
        <w:rPr>
          <w:b w:val="0"/>
          <w:i w:val="0"/>
        </w:rPr>
        <w:t>Record the decision-makers, consultation inputs and date of the preferred-option decision.</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2 — PROJECT DESCRIPTION.</w:t>
      </w:r>
    </w:p>
    <w:p/>
    <w:p>
      <w:pPr>
        <w:pStyle w:val="Heading1"/>
      </w:pPr>
      <w:r>
        <w:t>3. POLICY, LEGAL AND REGULATORY FRAMEWORK</w:t>
      </w:r>
    </w:p>
    <w:p>
      <w:pPr>
        <w:pStyle w:val="Heading2"/>
      </w:pPr>
      <w:r>
        <w:t>3.1 Applicable National and Local Requirements</w:t>
      </w:r>
    </w:p>
    <w:p>
      <w:pPr>
        <w:pStyle w:val="Heading5"/>
      </w:pPr>
      <w:r>
        <w:rPr>
          <w:b w:val="0"/>
          <w:i w:val="0"/>
        </w:rPr>
        <w:t>Assessment response</w:t>
      </w:r>
    </w:p>
    <w:p>
      <w:r>
        <w:rPr>
          <w:b/>
          <w:i w:val="0"/>
        </w:rPr>
        <w:t>Demonstration scope:</w:t>
      </w:r>
      <w:r>
        <w:rPr>
          <w:b w:val="0"/>
          <w:i w:val="0"/>
        </w:rPr>
        <w:t xml:space="preserve"> This illustrative response addresses whether applicable national and local requirements.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3.2 International Standards and Project Commitments</w:t>
      </w:r>
    </w:p>
    <w:p>
      <w:pPr>
        <w:pStyle w:val="Heading5"/>
      </w:pPr>
      <w:r>
        <w:rPr>
          <w:b w:val="0"/>
          <w:i w:val="0"/>
        </w:rPr>
        <w:t>Assessment response</w:t>
      </w:r>
    </w:p>
    <w:p>
      <w:r>
        <w:rPr>
          <w:b/>
          <w:i w:val="0"/>
        </w:rPr>
        <w:t>Demonstration scope:</w:t>
      </w:r>
      <w:r>
        <w:rPr>
          <w:b w:val="0"/>
          <w:i w:val="0"/>
        </w:rPr>
        <w:t xml:space="preserve"> This illustrative response addresses whether international standards and project commitments.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2"/>
      </w:pPr>
      <w:r>
        <w:t>3.3 Permits, Approvals and Compliance Obligations</w:t>
      </w:r>
    </w:p>
    <w:p>
      <w:pPr>
        <w:pStyle w:val="Heading5"/>
      </w:pPr>
      <w:r>
        <w:rPr>
          <w:b w:val="0"/>
          <w:i w:val="0"/>
        </w:rPr>
        <w:t>Assessment response</w:t>
      </w:r>
    </w:p>
    <w:p>
      <w:r>
        <w:rPr>
          <w:b/>
          <w:i w:val="0"/>
        </w:rPr>
        <w:t>Demonstration scope:</w:t>
      </w:r>
      <w:r>
        <w:rPr>
          <w:b w:val="0"/>
          <w:i w:val="0"/>
        </w:rPr>
        <w:t xml:space="preserve"> This illustrative response addresses whether permits, approvals and compliance obligations. It shows the expected structure and level of explanation; project-specific values require verification.</w:t>
      </w:r>
    </w:p>
    <w:p>
      <w:r>
        <w:rPr>
          <w:b w:val="0"/>
          <w:i w:val="0"/>
        </w:rPr>
        <w:t>The baseline study area must cover the project footprint at State of Kuwait / Kuwait, associated facilities, transport routes and the wider zone in which indirect or cumulative effects could occur. Baseline information should describe current land use, soils, water, air, noise, biodiversity, cultural heritage, material assets and socio-economic conditions, including seasonal variation and vulnerable receptors.</w:t>
      </w:r>
    </w:p>
    <w:p>
      <w:pPr>
        <w:pStyle w:val="Heading5"/>
      </w:pPr>
      <w:r>
        <w:rPr>
          <w:b w:val="0"/>
          <w:i w:val="0"/>
        </w:rPr>
        <w:t>Information to include in the controlled issue</w:t>
      </w:r>
    </w:p>
    <w:p>
      <w:pPr>
        <w:pStyle w:val="ListBullet"/>
      </w:pPr>
      <w:r>
        <w:rPr>
          <w:b w:val="0"/>
          <w:i w:val="0"/>
        </w:rPr>
        <w:t>Add dated survey results, coordinates, maps and laboratory accreditation details.</w:t>
      </w:r>
    </w:p>
    <w:p>
      <w:pPr>
        <w:pStyle w:val="ListBullet"/>
      </w:pPr>
      <w:r>
        <w:rPr>
          <w:b w:val="0"/>
          <w:i w:val="0"/>
        </w:rPr>
        <w:t>Identify sensitive receptors and explain the spatial and temporal study boundaries.</w:t>
      </w:r>
    </w:p>
    <w:p>
      <w:pPr>
        <w:pStyle w:val="ListBullet"/>
      </w:pPr>
      <w:r>
        <w:rPr>
          <w:b w:val="0"/>
          <w:i w:val="0"/>
        </w:rPr>
        <w:t>List data gaps, survey limitations and the assumptions used to address them.</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3 — POLICY, LEGAL AND REGULATORY FRAMEWORK.</w:t>
      </w:r>
    </w:p>
    <w:p/>
    <w:p>
      <w:pPr>
        <w:pStyle w:val="Heading1"/>
      </w:pPr>
      <w:r>
        <w:t>4. ALTERNATIVES ASSESSMENT</w:t>
      </w:r>
    </w:p>
    <w:p>
      <w:pPr>
        <w:pStyle w:val="Heading2"/>
      </w:pPr>
      <w:r>
        <w:t>4.1 No-Project Alternative</w:t>
      </w:r>
    </w:p>
    <w:p>
      <w:pPr>
        <w:pStyle w:val="Heading5"/>
      </w:pPr>
      <w:r>
        <w:rPr>
          <w:b w:val="0"/>
          <w:i w:val="0"/>
        </w:rPr>
        <w:t>Assessment response</w:t>
      </w:r>
    </w:p>
    <w:p>
      <w:r>
        <w:rPr>
          <w:b/>
          <w:i w:val="0"/>
        </w:rPr>
        <w:t>Demonstration scope:</w:t>
      </w:r>
      <w:r>
        <w:rPr>
          <w:b w:val="0"/>
          <w:i w:val="0"/>
        </w:rPr>
        <w:t xml:space="preserve"> This illustrative response addresses whether no-project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4.2 Site, Design, Technology and Process Alternatives</w:t>
      </w:r>
    </w:p>
    <w:p>
      <w:pPr>
        <w:pStyle w:val="Heading5"/>
      </w:pPr>
      <w:r>
        <w:rPr>
          <w:b w:val="0"/>
          <w:i w:val="0"/>
        </w:rPr>
        <w:t>Assessment response</w:t>
      </w:r>
    </w:p>
    <w:p>
      <w:r>
        <w:rPr>
          <w:b/>
          <w:i w:val="0"/>
        </w:rPr>
        <w:t>Demonstration scope:</w:t>
      </w:r>
      <w:r>
        <w:rPr>
          <w:b w:val="0"/>
          <w:i w:val="0"/>
        </w:rPr>
        <w:t xml:space="preserve"> This illustrative response addresses whether site, design, technology and process alternatives.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2"/>
      </w:pPr>
      <w:r>
        <w:t>4.3 Comparison and Selection of the Preferred Alternative</w:t>
      </w:r>
    </w:p>
    <w:p>
      <w:pPr>
        <w:pStyle w:val="Heading5"/>
      </w:pPr>
      <w:r>
        <w:rPr>
          <w:b w:val="0"/>
          <w:i w:val="0"/>
        </w:rPr>
        <w:t>Assessment response</w:t>
      </w:r>
    </w:p>
    <w:p>
      <w:r>
        <w:rPr>
          <w:b/>
          <w:i w:val="0"/>
        </w:rPr>
        <w:t>Demonstration scope:</w:t>
      </w:r>
      <w:r>
        <w:rPr>
          <w:b w:val="0"/>
          <w:i w:val="0"/>
        </w:rPr>
        <w:t xml:space="preserve"> This illustrative response addresses whether comparison and selection of the preferred alternative. It shows the expected structure and level of explanation; project-specific values require verification.</w:t>
      </w:r>
    </w:p>
    <w:p>
      <w:r>
        <w:rPr>
          <w:b w:val="0"/>
          <w:i w:val="0"/>
        </w:rPr>
        <w:t>Potential effects are assessed by linking each project activity to an environmental or social receptor. Significance should consider magnitude, receptor sensitivity, geographic extent, duration, frequency, reversibility, likelihood and confidence. The assessment should cover direct, indirect, induced, cumulative, temporary, permanent, positive and adverse effects, with credible worst-case assumptions where uncertainty remains.</w:t>
      </w:r>
    </w:p>
    <w:p>
      <w:pPr>
        <w:pStyle w:val="Heading5"/>
      </w:pPr>
      <w:r>
        <w:rPr>
          <w:b w:val="0"/>
          <w:i w:val="0"/>
        </w:rPr>
        <w:t>Information to include in the controlled issue</w:t>
      </w:r>
    </w:p>
    <w:p>
      <w:pPr>
        <w:pStyle w:val="ListBullet"/>
      </w:pPr>
      <w:r>
        <w:rPr>
          <w:b w:val="0"/>
          <w:i w:val="0"/>
        </w:rPr>
        <w:t>Add an impact register connecting activities, pathways, receptors and significance ratings.</w:t>
      </w:r>
    </w:p>
    <w:p>
      <w:pPr>
        <w:pStyle w:val="ListBullet"/>
      </w:pPr>
      <w:r>
        <w:rPr>
          <w:b w:val="0"/>
          <w:i w:val="0"/>
        </w:rPr>
        <w:t>State the prediction method, assessment criteria and evidence for each material effect.</w:t>
      </w:r>
    </w:p>
    <w:p>
      <w:pPr>
        <w:pStyle w:val="ListBullet"/>
      </w:pPr>
      <w:r>
        <w:rPr>
          <w:b w:val="0"/>
          <w:i w:val="0"/>
        </w:rPr>
        <w:t>Separate pre-mitigation effects from residual effects after committed measures.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4 — ALTERNATIVES ASSESSMENT.</w:t>
      </w:r>
    </w:p>
    <w:p/>
    <w:p>
      <w:pPr>
        <w:pStyle w:val="Heading1"/>
      </w:pPr>
      <w:r>
        <w:t>5. ENVIRONMENTAL AND SOCIAL BASELINE</w:t>
      </w:r>
    </w:p>
    <w:p>
      <w:pPr>
        <w:pStyle w:val="Heading2"/>
      </w:pPr>
      <w:r>
        <w:t>5.1 Study Area, Methods, Sources and Limitations</w:t>
      </w:r>
    </w:p>
    <w:p>
      <w:pPr>
        <w:pStyle w:val="Heading5"/>
      </w:pPr>
      <w:r>
        <w:rPr>
          <w:b w:val="0"/>
          <w:i w:val="0"/>
        </w:rPr>
        <w:t>Assessment response</w:t>
      </w:r>
    </w:p>
    <w:p>
      <w:r>
        <w:rPr>
          <w:b/>
          <w:i w:val="0"/>
        </w:rPr>
        <w:t>Demonstration scope:</w:t>
      </w:r>
      <w:r>
        <w:rPr>
          <w:b w:val="0"/>
          <w:i w:val="0"/>
        </w:rPr>
        <w:t xml:space="preserve"> This illustrative response addresses whether study area, methods, sources and limitations.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5.2 Physical Environment</w:t>
      </w:r>
    </w:p>
    <w:p>
      <w:pPr>
        <w:pStyle w:val="Heading5"/>
      </w:pPr>
      <w:r>
        <w:rPr>
          <w:b w:val="0"/>
          <w:i w:val="0"/>
        </w:rPr>
        <w:t>Assessment response</w:t>
      </w:r>
    </w:p>
    <w:p>
      <w:r>
        <w:rPr>
          <w:b/>
          <w:i w:val="0"/>
        </w:rPr>
        <w:t>Demonstration scope:</w:t>
      </w:r>
      <w:r>
        <w:rPr>
          <w:b w:val="0"/>
          <w:i w:val="0"/>
        </w:rPr>
        <w:t xml:space="preserve"> This illustrative response addresses whether physical environment.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5.3 Biodiversity and Ecosystem Services</w:t>
      </w:r>
    </w:p>
    <w:p>
      <w:pPr>
        <w:pStyle w:val="Heading5"/>
      </w:pPr>
      <w:r>
        <w:rPr>
          <w:b w:val="0"/>
          <w:i w:val="0"/>
        </w:rPr>
        <w:t>Assessment response</w:t>
      </w:r>
    </w:p>
    <w:p>
      <w:r>
        <w:rPr>
          <w:b/>
          <w:i w:val="0"/>
        </w:rPr>
        <w:t>Demonstration scope:</w:t>
      </w:r>
      <w:r>
        <w:rPr>
          <w:b w:val="0"/>
          <w:i w:val="0"/>
        </w:rPr>
        <w:t xml:space="preserve"> This illustrative response addresses whether biodiversity and ecosystem services.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Seasonally appropriate ecological surveys, habitat maps, species records and conservation-status sources.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5.4 Social, Health, Cultural Heritage and Land Use</w:t>
      </w:r>
    </w:p>
    <w:p>
      <w:pPr>
        <w:pStyle w:val="Heading5"/>
      </w:pPr>
      <w:r>
        <w:rPr>
          <w:b w:val="0"/>
          <w:i w:val="0"/>
        </w:rPr>
        <w:t>Assessment response</w:t>
      </w:r>
    </w:p>
    <w:p>
      <w:r>
        <w:rPr>
          <w:b/>
          <w:i w:val="0"/>
        </w:rPr>
        <w:t>Demonstration scope:</w:t>
      </w:r>
      <w:r>
        <w:rPr>
          <w:b w:val="0"/>
          <w:i w:val="0"/>
        </w:rPr>
        <w:t xml:space="preserve"> This illustrative response addresses whether social, health, cultural heritage and land use.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Census and livelihood data, stakeholder records, workforce estimates and grievance-management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2"/>
      </w:pPr>
      <w:r>
        <w:t>5.5 Sensitive Receptors and Future Baseline</w:t>
      </w:r>
    </w:p>
    <w:p>
      <w:pPr>
        <w:pStyle w:val="Heading5"/>
      </w:pPr>
      <w:r>
        <w:rPr>
          <w:b w:val="0"/>
          <w:i w:val="0"/>
        </w:rPr>
        <w:t>Assessment response</w:t>
      </w:r>
    </w:p>
    <w:p>
      <w:r>
        <w:rPr>
          <w:b/>
          <w:i w:val="0"/>
        </w:rPr>
        <w:t>Demonstration scope:</w:t>
      </w:r>
      <w:r>
        <w:rPr>
          <w:b w:val="0"/>
          <w:i w:val="0"/>
        </w:rPr>
        <w:t xml:space="preserve"> This illustrative response addresses whether sensitive receptors and future baseline. It shows the expected structure and level of explanation; project-specific values require verification.</w:t>
      </w:r>
    </w:p>
    <w:p>
      <w:r>
        <w:rPr>
          <w:b w:val="0"/>
          <w:i w:val="0"/>
        </w:rPr>
        <w:t>Mitigation should follow the hierarchy of avoidance, minimization, restoration and, where appropriate, compensation for significant residual effects. Each commitment should be specific, measurable and linked to an owner, implementation phase, completion date, performance indicator and corrective-action trigger.</w:t>
      </w:r>
    </w:p>
    <w:p>
      <w:pPr>
        <w:pStyle w:val="Heading5"/>
      </w:pPr>
      <w:r>
        <w:rPr>
          <w:b w:val="0"/>
          <w:i w:val="0"/>
        </w:rPr>
        <w:t>Information to include in the controlled issue</w:t>
      </w:r>
    </w:p>
    <w:p>
      <w:pPr>
        <w:pStyle w:val="ListBullet"/>
      </w:pPr>
      <w:r>
        <w:rPr>
          <w:b w:val="0"/>
          <w:i w:val="0"/>
        </w:rPr>
        <w:t>Add a commitments register with accountable owners and implementation dates.</w:t>
      </w:r>
    </w:p>
    <w:p>
      <w:pPr>
        <w:pStyle w:val="ListBullet"/>
      </w:pPr>
      <w:r>
        <w:rPr>
          <w:b w:val="0"/>
          <w:i w:val="0"/>
        </w:rPr>
        <w:t>Define monitoring locations, methods, frequency, thresholds and escalation actions.</w:t>
      </w:r>
    </w:p>
    <w:p>
      <w:pPr>
        <w:pStyle w:val="ListBullet"/>
      </w:pPr>
      <w:r>
        <w:rPr>
          <w:b w:val="0"/>
          <w:i w:val="0"/>
        </w:rPr>
        <w:t>Explain residual effects and any impacts introduced by the mitigation itself.</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5 — ENVIRONMENTAL AND SOCIAL BASELINE.</w:t>
      </w:r>
    </w:p>
    <w:p/>
    <w:p>
      <w:pPr>
        <w:pStyle w:val="Heading1"/>
      </w:pPr>
      <w:r>
        <w:t>6. IMPACT ASSESSMENT</w:t>
      </w:r>
    </w:p>
    <w:p>
      <w:pPr>
        <w:pStyle w:val="Heading2"/>
      </w:pPr>
      <w:r>
        <w:t>6.1 Scoping and Assessment Methodology</w:t>
      </w:r>
    </w:p>
    <w:p>
      <w:pPr>
        <w:pStyle w:val="Heading5"/>
      </w:pPr>
      <w:r>
        <w:rPr>
          <w:b w:val="0"/>
          <w:i w:val="0"/>
        </w:rPr>
        <w:t>Assessment response</w:t>
      </w:r>
    </w:p>
    <w:p>
      <w:r>
        <w:rPr>
          <w:b/>
          <w:i w:val="0"/>
        </w:rPr>
        <w:t>Demonstration scope:</w:t>
      </w:r>
      <w:r>
        <w:rPr>
          <w:b w:val="0"/>
          <w:i w:val="0"/>
        </w:rPr>
        <w:t xml:space="preserve"> This illustrative response addresses whether scoping and assessment methodology.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6.2 Construction Impacts</w:t>
      </w:r>
    </w:p>
    <w:p>
      <w:pPr>
        <w:pStyle w:val="Heading5"/>
      </w:pPr>
      <w:r>
        <w:rPr>
          <w:b w:val="0"/>
          <w:i w:val="0"/>
        </w:rPr>
        <w:t>Assessment response</w:t>
      </w:r>
    </w:p>
    <w:p>
      <w:r>
        <w:rPr>
          <w:b/>
          <w:i w:val="0"/>
        </w:rPr>
        <w:t>Demonstration scope:</w:t>
      </w:r>
      <w:r>
        <w:rPr>
          <w:b w:val="0"/>
          <w:i w:val="0"/>
        </w:rPr>
        <w:t xml:space="preserve"> This illustrative response addresses whether construction impacts.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6.3 Operational Impacts</w:t>
      </w:r>
    </w:p>
    <w:p>
      <w:pPr>
        <w:pStyle w:val="Heading5"/>
      </w:pPr>
      <w:r>
        <w:rPr>
          <w:b w:val="0"/>
          <w:i w:val="0"/>
        </w:rPr>
        <w:t>Assessment response</w:t>
      </w:r>
    </w:p>
    <w:p>
      <w:r>
        <w:rPr>
          <w:b/>
          <w:i w:val="0"/>
        </w:rPr>
        <w:t>Demonstration scope:</w:t>
      </w:r>
      <w:r>
        <w:rPr>
          <w:b w:val="0"/>
          <w:i w:val="0"/>
        </w:rPr>
        <w:t xml:space="preserve"> This illustrative response addresses whether operational impacts.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6.4 Decommissioning, Accidents and Unplanned Events</w:t>
      </w:r>
    </w:p>
    <w:p>
      <w:pPr>
        <w:pStyle w:val="Heading5"/>
      </w:pPr>
      <w:r>
        <w:rPr>
          <w:b w:val="0"/>
          <w:i w:val="0"/>
        </w:rPr>
        <w:t>Assessment response</w:t>
      </w:r>
    </w:p>
    <w:p>
      <w:r>
        <w:rPr>
          <w:b/>
          <w:i w:val="0"/>
        </w:rPr>
        <w:t>Demonstration scope:</w:t>
      </w:r>
      <w:r>
        <w:rPr>
          <w:b w:val="0"/>
          <w:i w:val="0"/>
        </w:rPr>
        <w:t xml:space="preserve"> This illustrative response addresses whether decommissioning, accidents and unplanned events.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2"/>
      </w:pPr>
      <w:r>
        <w:t>6.5 Impact Significance and Residual Effects</w:t>
      </w:r>
    </w:p>
    <w:p>
      <w:pPr>
        <w:pStyle w:val="Heading5"/>
      </w:pPr>
      <w:r>
        <w:rPr>
          <w:b w:val="0"/>
          <w:i w:val="0"/>
        </w:rPr>
        <w:t>Assessment response</w:t>
      </w:r>
    </w:p>
    <w:p>
      <w:r>
        <w:rPr>
          <w:b/>
          <w:i w:val="0"/>
        </w:rPr>
        <w:t>Demonstration scope:</w:t>
      </w:r>
      <w:r>
        <w:rPr>
          <w:b w:val="0"/>
          <w:i w:val="0"/>
        </w:rPr>
        <w:t xml:space="preserve"> This illustrative response addresses whether impact significance and residual effects. It shows the expected structure and level of explanation; project-specific values require verification.</w:t>
      </w:r>
    </w:p>
    <w:p>
      <w:r>
        <w:rPr>
          <w:b w:val="0"/>
          <w:i w:val="0"/>
        </w:rPr>
        <w:t>In plain language, Kuwait EIA End-to-End Demo is a proposed development at State of Kuwait / Kuwait. Its principal potential effects relate to land disturbance, construction traffic, resource use, emissions, waste, biodiversity and nearby communities. The preferred design and management measures should avoid sensitive areas, control pollution, monitor performance and provide a route for concerns to be raised and resolved.</w:t>
      </w:r>
    </w:p>
    <w:p>
      <w:pPr>
        <w:pStyle w:val="Heading5"/>
      </w:pPr>
      <w:r>
        <w:rPr>
          <w:b w:val="0"/>
          <w:i w:val="0"/>
        </w:rPr>
        <w:t>Information to include in the controlled issue</w:t>
      </w:r>
    </w:p>
    <w:p>
      <w:pPr>
        <w:pStyle w:val="ListBullet"/>
      </w:pPr>
      <w:r>
        <w:rPr>
          <w:b w:val="0"/>
          <w:i w:val="0"/>
        </w:rPr>
        <w:t>Add a simple location figure and project layout.</w:t>
      </w:r>
    </w:p>
    <w:p>
      <w:pPr>
        <w:pStyle w:val="ListBullet"/>
      </w:pPr>
      <w:r>
        <w:rPr>
          <w:b w:val="0"/>
          <w:i w:val="0"/>
        </w:rPr>
        <w:t>Summarize the most important effects, mitigation and residual effects without technical jargon.</w:t>
      </w:r>
    </w:p>
    <w:p>
      <w:pPr>
        <w:pStyle w:val="ListBullet"/>
      </w:pPr>
      <w:r>
        <w:rPr>
          <w:b w:val="0"/>
          <w:i w:val="0"/>
        </w:rPr>
        <w:t>Explain the approval process and how readers can access the full assessment and submit comments.</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6 — IMPACT ASSESSMENT.</w:t>
      </w:r>
    </w:p>
    <w:p/>
    <w:p>
      <w:pPr>
        <w:pStyle w:val="Heading1"/>
      </w:pPr>
      <w:r>
        <w:t>7. MITIGATION AND ENVIRONMENTAL MANAGEMENT</w:t>
      </w:r>
    </w:p>
    <w:p>
      <w:pPr>
        <w:pStyle w:val="Heading2"/>
      </w:pPr>
      <w:r>
        <w:t>7.1 Mitigation Hierarchy and Commitments</w:t>
      </w:r>
    </w:p>
    <w:p>
      <w:pPr>
        <w:pStyle w:val="Heading5"/>
      </w:pPr>
      <w:r>
        <w:rPr>
          <w:b w:val="0"/>
          <w:i w:val="0"/>
        </w:rPr>
        <w:t>Assessment response</w:t>
      </w:r>
    </w:p>
    <w:p>
      <w:r>
        <w:rPr>
          <w:b/>
          <w:i w:val="0"/>
        </w:rPr>
        <w:t>Demonstration scope:</w:t>
      </w:r>
      <w:r>
        <w:rPr>
          <w:b w:val="0"/>
          <w:i w:val="0"/>
        </w:rPr>
        <w:t xml:space="preserve"> This illustrative response addresses whether mitigation hierarchy and commitments.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Project design drawings, field survey records, permits, specialist studies and consultation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2"/>
      </w:pPr>
      <w:r>
        <w:t>7.2 Environmental and Social Management Plan</w:t>
      </w:r>
    </w:p>
    <w:p>
      <w:pPr>
        <w:pStyle w:val="Heading5"/>
      </w:pPr>
      <w:r>
        <w:rPr>
          <w:b w:val="0"/>
          <w:i w:val="0"/>
        </w:rPr>
        <w:t>Assessment response</w:t>
      </w:r>
    </w:p>
    <w:p>
      <w:r>
        <w:rPr>
          <w:b/>
          <w:i w:val="0"/>
        </w:rPr>
        <w:t>Demonstration scope:</w:t>
      </w:r>
      <w:r>
        <w:rPr>
          <w:b w:val="0"/>
          <w:i w:val="0"/>
        </w:rPr>
        <w:t xml:space="preserve"> This illustrative response addresses whether environmental and social management plan.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Census and livelihood data, stakeholder records, workforce estimates and grievance-management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2"/>
      </w:pPr>
      <w:r>
        <w:t>7.3 Responsibilities, Resources and Corrective Action</w:t>
      </w:r>
    </w:p>
    <w:p>
      <w:pPr>
        <w:pStyle w:val="Heading5"/>
      </w:pPr>
      <w:r>
        <w:rPr>
          <w:b w:val="0"/>
          <w:i w:val="0"/>
        </w:rPr>
        <w:t>Assessment response</w:t>
      </w:r>
    </w:p>
    <w:p>
      <w:r>
        <w:rPr>
          <w:b/>
          <w:i w:val="0"/>
        </w:rPr>
        <w:t>Demonstration scope:</w:t>
      </w:r>
      <w:r>
        <w:rPr>
          <w:b w:val="0"/>
          <w:i w:val="0"/>
        </w:rPr>
        <w:t xml:space="preserve"> This illustrative response addresses whether responsibilities, resources and corrective action. It shows the expected structure and level of explanation; project-specific values require verification.</w:t>
      </w:r>
    </w:p>
    <w:p>
      <w:r>
        <w:rPr>
          <w:b w:val="0"/>
          <w:i w:val="0"/>
        </w:rPr>
        <w:t>The project is being assessed for the State of Kuwait. The regulatory register is anchored to official Kuwait Environment Public Authority sources, including Environmental Protection Law No. 42 of 2014 as amended by Law No. 99 of 2015 and the applicable KEPA executive regulations. Each requirement must be screened for project applicability and linked to source evidence, an assessment, identified gaps, actions and the authorised reviewer's decision before issue. KOC requirements apply only where the project, client or contract makes them applicable.</w:t>
      </w:r>
    </w:p>
    <w:p>
      <w:pPr>
        <w:pStyle w:val="Heading5"/>
      </w:pPr>
      <w:r>
        <w:rPr>
          <w:b w:val="0"/>
          <w:i w:val="0"/>
        </w:rPr>
        <w:t>Information to include in the controlled issue</w:t>
      </w:r>
    </w:p>
    <w:p>
      <w:pPr>
        <w:pStyle w:val="ListBullet"/>
      </w:pPr>
      <w:r>
        <w:rPr>
          <w:b w:val="0"/>
          <w:i w:val="0"/>
        </w:rPr>
        <w:t>Confirm the current KEPA approval pathway, permits and executive regulations with a qualified Kuwait practitioner.</w:t>
      </w:r>
    </w:p>
    <w:p>
      <w:pPr>
        <w:pStyle w:val="ListBullet"/>
      </w:pPr>
      <w:r>
        <w:rPr>
          <w:b w:val="0"/>
          <w:i w:val="0"/>
        </w:rPr>
        <w:t>Record why each KEPA, ministry, municipal or KOC requirement applies to the project.</w:t>
      </w:r>
    </w:p>
    <w:p>
      <w:pPr>
        <w:pStyle w:val="ListBullet"/>
      </w:pPr>
      <w:r>
        <w:rPr>
          <w:b w:val="0"/>
          <w:i w:val="0"/>
        </w:rPr>
        <w:t>Complete the legal register with requirement, official source, version, evidence, assessment, gap, action and reviewer decision.</w:t>
      </w:r>
    </w:p>
    <w:p>
      <w:pPr>
        <w:pStyle w:val="Heading5"/>
      </w:pPr>
      <w:r>
        <w:rPr>
          <w:b w:val="0"/>
          <w:i w:val="0"/>
        </w:rPr>
        <w:t>Evidence and limitations</w:t>
      </w:r>
    </w:p>
    <w:p>
      <w:r>
        <w:rPr>
          <w:b w:val="0"/>
          <w:i w:val="0"/>
        </w:rPr>
        <w:t>Project design drawings, field survey records, permits, specialist studies and consultation records. The Kuwait legal register is a decision-support aid and must be verified by the authorised local professional before controlled issue.</w:t>
      </w:r>
    </w:p>
    <w:p>
      <w:r>
        <w:rPr>
          <w:b/>
          <w:i w:val="0"/>
        </w:rPr>
        <w:t>Section context:</w:t>
      </w:r>
      <w:r>
        <w:rPr>
          <w:b w:val="0"/>
          <w:i w:val="0"/>
        </w:rPr>
        <w:t xml:space="preserve"> 7 — MITIGATION AND ENVIRONMENTAL MANAGEMENT.</w:t>
      </w:r>
    </w:p>
    <w:p/>
    <w:p>
      <w:pPr>
        <w:pStyle w:val="Heading1"/>
      </w:pPr>
      <w:r>
        <w:t>8. MONITORING PROGRAMME</w:t>
      </w:r>
    </w:p>
    <w:p>
      <w:pPr>
        <w:pStyle w:val="Heading2"/>
      </w:pPr>
      <w:r>
        <w:t>8.1 Monitoring Indicators, Methods and Locations</w:t>
      </w:r>
    </w:p>
    <w:p>
      <w:pPr>
        <w:pStyle w:val="Heading5"/>
      </w:pPr>
      <w:r>
        <w:rPr>
          <w:b w:val="0"/>
          <w:i w:val="0"/>
        </w:rPr>
        <w:t>Assessment response</w:t>
      </w:r>
    </w:p>
    <w:p>
      <w:r>
        <w:rPr>
          <w:b/>
          <w:i w:val="0"/>
        </w:rPr>
        <w:t>Demonstration scope:</w:t>
      </w:r>
      <w:r>
        <w:rPr>
          <w:b w:val="0"/>
          <w:i w:val="0"/>
        </w:rPr>
        <w:t xml:space="preserve"> This illustrative response addresses whether monitoring indicators, methods and locations.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2"/>
      </w:pPr>
      <w:r>
        <w:t>8.2 Thresholds, Frequency, Reporting and Response</w:t>
      </w:r>
    </w:p>
    <w:p>
      <w:pPr>
        <w:pStyle w:val="Heading5"/>
      </w:pPr>
      <w:r>
        <w:rPr>
          <w:b w:val="0"/>
          <w:i w:val="0"/>
        </w:rPr>
        <w:t>Assessment response</w:t>
      </w:r>
    </w:p>
    <w:p>
      <w:r>
        <w:rPr>
          <w:b/>
          <w:i w:val="0"/>
        </w:rPr>
        <w:t>Demonstration scope:</w:t>
      </w:r>
      <w:r>
        <w:rPr>
          <w:b w:val="0"/>
          <w:i w:val="0"/>
        </w:rPr>
        <w:t xml:space="preserve"> This illustrative response addresses whether thresholds, frequency, reporting and response.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8 — MONITORING PROGRAMME.</w:t>
      </w:r>
    </w:p>
    <w:p/>
    <w:p>
      <w:pPr>
        <w:pStyle w:val="Heading1"/>
      </w:pPr>
      <w:r>
        <w:t>9. CUMULATIVE IMPACTS</w:t>
      </w:r>
    </w:p>
    <w:p>
      <w:pPr>
        <w:pStyle w:val="Heading2"/>
      </w:pPr>
      <w:r>
        <w:t>9.1 Other Developments and Valued Receptors</w:t>
      </w:r>
    </w:p>
    <w:p>
      <w:pPr>
        <w:pStyle w:val="Heading5"/>
      </w:pPr>
      <w:r>
        <w:rPr>
          <w:b w:val="0"/>
          <w:i w:val="0"/>
        </w:rPr>
        <w:t>Assessment response</w:t>
      </w:r>
    </w:p>
    <w:p>
      <w:r>
        <w:rPr>
          <w:b/>
          <w:i w:val="0"/>
        </w:rPr>
        <w:t>Demonstration scope:</w:t>
      </w:r>
      <w:r>
        <w:rPr>
          <w:b w:val="0"/>
          <w:i w:val="0"/>
        </w:rPr>
        <w:t xml:space="preserve"> This illustrative response addresses whether other developments and valued receptors.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2"/>
      </w:pPr>
      <w:r>
        <w:t>9.2 Cumulative Effects, Mitigation and Residual Risk</w:t>
      </w:r>
    </w:p>
    <w:p>
      <w:pPr>
        <w:pStyle w:val="Heading5"/>
      </w:pPr>
      <w:r>
        <w:rPr>
          <w:b w:val="0"/>
          <w:i w:val="0"/>
        </w:rPr>
        <w:t>Assessment response</w:t>
      </w:r>
    </w:p>
    <w:p>
      <w:r>
        <w:rPr>
          <w:b/>
          <w:i w:val="0"/>
        </w:rPr>
        <w:t>Demonstration scope:</w:t>
      </w:r>
      <w:r>
        <w:rPr>
          <w:b w:val="0"/>
          <w:i w:val="0"/>
        </w:rPr>
        <w:t xml:space="preserve"> This illustrative response addresses whether cumulative effects, mitigation and residual risk.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9 — CUMULATIVE IMPACTS.</w:t>
      </w:r>
    </w:p>
    <w:p/>
    <w:p>
      <w:pPr>
        <w:pStyle w:val="Heading1"/>
      </w:pPr>
      <w:r>
        <w:t>10. CLIMATE, CARBON AND RESILIENCE</w:t>
      </w:r>
    </w:p>
    <w:p>
      <w:pPr>
        <w:pStyle w:val="Heading2"/>
      </w:pPr>
      <w:r>
        <w:t>10.1 Greenhouse Gas Emissions and Mitigation</w:t>
      </w:r>
    </w:p>
    <w:p>
      <w:pPr>
        <w:pStyle w:val="Heading5"/>
      </w:pPr>
      <w:r>
        <w:rPr>
          <w:b w:val="0"/>
          <w:i w:val="0"/>
        </w:rPr>
        <w:t>Assessment response</w:t>
      </w:r>
    </w:p>
    <w:p>
      <w:r>
        <w:rPr>
          <w:b/>
          <w:i w:val="0"/>
        </w:rPr>
        <w:t>Demonstration scope:</w:t>
      </w:r>
      <w:r>
        <w:rPr>
          <w:b w:val="0"/>
          <w:i w:val="0"/>
        </w:rPr>
        <w:t xml:space="preserve"> This illustrative response addresses whether greenhouse gas emissions and mitigation.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Waste inventories, emissions calculations, safety studies, monitoring plans and licensed contractor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2"/>
      </w:pPr>
      <w:r>
        <w:t>10.2 Climate Risk, Adaptation and Resilience</w:t>
      </w:r>
    </w:p>
    <w:p>
      <w:pPr>
        <w:pStyle w:val="Heading5"/>
      </w:pPr>
      <w:r>
        <w:rPr>
          <w:b w:val="0"/>
          <w:i w:val="0"/>
        </w:rPr>
        <w:t>Assessment response</w:t>
      </w:r>
    </w:p>
    <w:p>
      <w:r>
        <w:rPr>
          <w:b/>
          <w:i w:val="0"/>
        </w:rPr>
        <w:t>Demonstration scope:</w:t>
      </w:r>
      <w:r>
        <w:rPr>
          <w:b w:val="0"/>
          <w:i w:val="0"/>
        </w:rPr>
        <w:t xml:space="preserve"> This illustrative response addresses whether climate risk, adaptation and resilience.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10 — CLIMATE, CARBON AND RESILIENCE.</w:t>
      </w:r>
    </w:p>
    <w:p/>
    <w:p>
      <w:pPr>
        <w:pStyle w:val="Heading1"/>
      </w:pPr>
      <w:r>
        <w:t>11. STAKEHOLDER AND CONSULTATION RECORD</w:t>
      </w:r>
    </w:p>
    <w:p>
      <w:pPr>
        <w:pStyle w:val="Heading2"/>
      </w:pPr>
      <w:r>
        <w:t>11.1 Stakeholder Identification and Engagement</w:t>
      </w:r>
    </w:p>
    <w:p>
      <w:pPr>
        <w:pStyle w:val="Heading5"/>
      </w:pPr>
      <w:r>
        <w:rPr>
          <w:b w:val="0"/>
          <w:i w:val="0"/>
        </w:rPr>
        <w:t>Assessment response</w:t>
      </w:r>
    </w:p>
    <w:p>
      <w:r>
        <w:rPr>
          <w:b/>
          <w:i w:val="0"/>
        </w:rPr>
        <w:t>Demonstration scope:</w:t>
      </w:r>
      <w:r>
        <w:rPr>
          <w:b w:val="0"/>
          <w:i w:val="0"/>
        </w:rPr>
        <w:t xml:space="preserve"> This illustrative response addresses whether stakeholder identification and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11.2 Issues Raised, Responses and Commitments</w:t>
      </w:r>
    </w:p>
    <w:p>
      <w:pPr>
        <w:pStyle w:val="Heading5"/>
      </w:pPr>
      <w:r>
        <w:rPr>
          <w:b w:val="0"/>
          <w:i w:val="0"/>
        </w:rPr>
        <w:t>Assessment response</w:t>
      </w:r>
    </w:p>
    <w:p>
      <w:r>
        <w:rPr>
          <w:b/>
          <w:i w:val="0"/>
        </w:rPr>
        <w:t>Demonstration scope:</w:t>
      </w:r>
      <w:r>
        <w:rPr>
          <w:b w:val="0"/>
          <w:i w:val="0"/>
        </w:rPr>
        <w:t xml:space="preserve"> This illustrative response addresses whether issues raised, responses and commitments.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2"/>
      </w:pPr>
      <w:r>
        <w:t>11.3 Grievance and Ongoing Engagement</w:t>
      </w:r>
    </w:p>
    <w:p>
      <w:pPr>
        <w:pStyle w:val="Heading5"/>
      </w:pPr>
      <w:r>
        <w:rPr>
          <w:b w:val="0"/>
          <w:i w:val="0"/>
        </w:rPr>
        <w:t>Assessment response</w:t>
      </w:r>
    </w:p>
    <w:p>
      <w:r>
        <w:rPr>
          <w:b/>
          <w:i w:val="0"/>
        </w:rPr>
        <w:t>Demonstration scope:</w:t>
      </w:r>
      <w:r>
        <w:rPr>
          <w:b w:val="0"/>
          <w:i w:val="0"/>
        </w:rPr>
        <w:t xml:space="preserve"> This illustrative response addresses whether grievance and ongoing engagement.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11 — STAKEHOLDER AND CONSULTATION RECORD.</w:t>
      </w:r>
    </w:p>
    <w:p/>
    <w:p>
      <w:pPr>
        <w:pStyle w:val="Heading1"/>
      </w:pPr>
      <w:r>
        <w:t>12. COMPLIANCE MATRIX</w:t>
      </w:r>
    </w:p>
    <w:p>
      <w:pPr>
        <w:pStyle w:val="Heading2"/>
      </w:pPr>
      <w:r>
        <w:t>12.1 Requirement-to-Evidence Compliance Matrix</w:t>
      </w:r>
    </w:p>
    <w:p>
      <w:pPr>
        <w:pStyle w:val="Heading5"/>
      </w:pPr>
      <w:r>
        <w:rPr>
          <w:b w:val="0"/>
          <w:i w:val="0"/>
        </w:rPr>
        <w:t>Assessment response</w:t>
      </w:r>
    </w:p>
    <w:p>
      <w:r>
        <w:rPr>
          <w:b/>
          <w:i w:val="0"/>
        </w:rPr>
        <w:t>Demonstration scope:</w:t>
      </w:r>
      <w:r>
        <w:rPr>
          <w:b w:val="0"/>
          <w:i w:val="0"/>
        </w:rPr>
        <w:t xml:space="preserve"> This illustrative response addresses whether requirement-to-evidence compliance matrix.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2"/>
      </w:pPr>
      <w:r>
        <w:t>12.2 Outstanding Obligations and Actions</w:t>
      </w:r>
    </w:p>
    <w:p>
      <w:pPr>
        <w:pStyle w:val="Heading5"/>
      </w:pPr>
      <w:r>
        <w:rPr>
          <w:b w:val="0"/>
          <w:i w:val="0"/>
        </w:rPr>
        <w:t>Assessment response</w:t>
      </w:r>
    </w:p>
    <w:p>
      <w:r>
        <w:rPr>
          <w:b/>
          <w:i w:val="0"/>
        </w:rPr>
        <w:t>Demonstration scope:</w:t>
      </w:r>
      <w:r>
        <w:rPr>
          <w:b w:val="0"/>
          <w:i w:val="0"/>
        </w:rPr>
        <w:t xml:space="preserve"> This illustrative response addresses whether outstanding obligations and actions.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12 — COMPLIANCE MATRIX.</w:t>
      </w:r>
    </w:p>
    <w:p/>
    <w:p>
      <w:pPr>
        <w:pStyle w:val="Heading1"/>
      </w:pPr>
      <w:r>
        <w:t>13. ENVIRONMENTAL INTELLIGENCE AND QA</w:t>
      </w:r>
    </w:p>
    <w:p>
      <w:pPr>
        <w:pStyle w:val="Heading2"/>
      </w:pPr>
      <w:r>
        <w:t>13.1 Evidence Traceability and Quality Assurance</w:t>
      </w:r>
    </w:p>
    <w:p>
      <w:pPr>
        <w:pStyle w:val="Heading5"/>
      </w:pPr>
      <w:r>
        <w:rPr>
          <w:b w:val="0"/>
          <w:i w:val="0"/>
        </w:rPr>
        <w:t>Assessment response</w:t>
      </w:r>
    </w:p>
    <w:p>
      <w:r>
        <w:rPr>
          <w:b/>
          <w:i w:val="0"/>
        </w:rPr>
        <w:t>Demonstration scope:</w:t>
      </w:r>
      <w:r>
        <w:rPr>
          <w:b w:val="0"/>
          <w:i w:val="0"/>
        </w:rPr>
        <w:t xml:space="preserve"> This illustrative response addresses whether evidence traceability and quality assurance.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2"/>
      </w:pPr>
      <w:r>
        <w:t>13.2 Data Gaps, Uncertainty and AI Transparency</w:t>
      </w:r>
    </w:p>
    <w:p>
      <w:pPr>
        <w:pStyle w:val="Heading5"/>
      </w:pPr>
      <w:r>
        <w:rPr>
          <w:b w:val="0"/>
          <w:i w:val="0"/>
        </w:rPr>
        <w:t>Assessment response</w:t>
      </w:r>
    </w:p>
    <w:p>
      <w:r>
        <w:rPr>
          <w:b/>
          <w:i w:val="0"/>
        </w:rPr>
        <w:t>Demonstration scope:</w:t>
      </w:r>
      <w:r>
        <w:rPr>
          <w:b w:val="0"/>
          <w:i w:val="0"/>
        </w:rPr>
        <w:t xml:space="preserve"> This illustrative response addresses whether data gaps, uncertainty and ai transparency.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2"/>
      </w:pPr>
      <w:r>
        <w:t>13.3 Professional Review and Reviewer Decisions</w:t>
      </w:r>
    </w:p>
    <w:p>
      <w:pPr>
        <w:pStyle w:val="Heading5"/>
      </w:pPr>
      <w:r>
        <w:rPr>
          <w:b w:val="0"/>
          <w:i w:val="0"/>
        </w:rPr>
        <w:t>Assessment response</w:t>
      </w:r>
    </w:p>
    <w:p>
      <w:r>
        <w:rPr>
          <w:b/>
          <w:i w:val="0"/>
        </w:rPr>
        <w:t>Demonstration scope:</w:t>
      </w:r>
      <w:r>
        <w:rPr>
          <w:b w:val="0"/>
          <w:i w:val="0"/>
        </w:rPr>
        <w:t xml:space="preserve"> This illustrative response addresses whether professional review and reviewer decisions.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13 — ENVIRONMENTAL INTELLIGENCE AND QA.</w:t>
      </w:r>
    </w:p>
    <w:p/>
    <w:p>
      <w:pPr>
        <w:pStyle w:val="Heading1"/>
      </w:pPr>
      <w:r>
        <w:t>14. CONCLUSIONS AND DECISION READINESS</w:t>
      </w:r>
    </w:p>
    <w:p>
      <w:pPr>
        <w:pStyle w:val="Heading2"/>
      </w:pPr>
      <w:r>
        <w:t>14.1 Overall Conclusions and Residual Effects</w:t>
      </w:r>
    </w:p>
    <w:p>
      <w:pPr>
        <w:pStyle w:val="Heading5"/>
      </w:pPr>
      <w:r>
        <w:rPr>
          <w:b w:val="0"/>
          <w:i w:val="0"/>
        </w:rPr>
        <w:t>Assessment response</w:t>
      </w:r>
    </w:p>
    <w:p>
      <w:r>
        <w:rPr>
          <w:b/>
          <w:i w:val="0"/>
        </w:rPr>
        <w:t>Demonstration scope:</w:t>
      </w:r>
      <w:r>
        <w:rPr>
          <w:b w:val="0"/>
          <w:i w:val="0"/>
        </w:rPr>
        <w:t xml:space="preserve"> This illustrative response addresses whether overall conclusions and residual effects.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2"/>
      </w:pPr>
      <w:r>
        <w:t>14.2 Conditions, Priority Actions and Decision Readiness</w:t>
      </w:r>
    </w:p>
    <w:p>
      <w:pPr>
        <w:pStyle w:val="Heading5"/>
      </w:pPr>
      <w:r>
        <w:rPr>
          <w:b w:val="0"/>
          <w:i w:val="0"/>
        </w:rPr>
        <w:t>Assessment response</w:t>
      </w:r>
    </w:p>
    <w:p>
      <w:r>
        <w:rPr>
          <w:b/>
          <w:i w:val="0"/>
        </w:rPr>
        <w:t>Demonstration scope:</w:t>
      </w:r>
      <w:r>
        <w:rPr>
          <w:b w:val="0"/>
          <w:i w:val="0"/>
        </w:rPr>
        <w:t xml:space="preserve"> This illustrative response addresses whether conditions, priority actions and decision readiness.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14 — CONCLUSIONS AND DECISION READINESS.</w:t>
      </w:r>
    </w:p>
    <w:p/>
    <w:p>
      <w:pPr>
        <w:pStyle w:val="Heading1"/>
      </w:pPr>
      <w:r>
        <w:t>A. APPENDICES AND EVIDENCE REGISTER</w:t>
      </w:r>
    </w:p>
    <w:p>
      <w:pPr>
        <w:pStyle w:val="Heading2"/>
      </w:pPr>
      <w:r>
        <w:t>A.1 Appendix Schedule</w:t>
      </w:r>
    </w:p>
    <w:p>
      <w:pPr>
        <w:pStyle w:val="Heading5"/>
      </w:pPr>
      <w:r>
        <w:rPr>
          <w:b w:val="0"/>
          <w:i w:val="0"/>
        </w:rPr>
        <w:t>Assessment response</w:t>
      </w:r>
    </w:p>
    <w:p>
      <w:r>
        <w:rPr>
          <w:b/>
          <w:i w:val="0"/>
        </w:rPr>
        <w:t>Demonstration scope:</w:t>
      </w:r>
      <w:r>
        <w:rPr>
          <w:b w:val="0"/>
          <w:i w:val="0"/>
        </w:rPr>
        <w:t xml:space="preserve"> This illustrative response addresses whether appendix schedule.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A.2 Evidence Register</w:t>
      </w:r>
    </w:p>
    <w:p>
      <w:pPr>
        <w:pStyle w:val="Heading5"/>
      </w:pPr>
      <w:r>
        <w:rPr>
          <w:b w:val="0"/>
          <w:i w:val="0"/>
        </w:rPr>
        <w:t>Assessment response</w:t>
      </w:r>
    </w:p>
    <w:p>
      <w:r>
        <w:rPr>
          <w:b/>
          <w:i w:val="0"/>
        </w:rPr>
        <w:t>Demonstration scope:</w:t>
      </w:r>
      <w:r>
        <w:rPr>
          <w:b w:val="0"/>
          <w:i w:val="0"/>
        </w:rPr>
        <w:t xml:space="preserve"> This illustrative response addresses whether evidence register.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pPr>
        <w:pStyle w:val="Heading2"/>
      </w:pPr>
      <w:r>
        <w:t>A.3 Figures, Tables and Supporting Records</w:t>
      </w:r>
    </w:p>
    <w:p>
      <w:pPr>
        <w:pStyle w:val="Heading5"/>
      </w:pPr>
      <w:r>
        <w:rPr>
          <w:b w:val="0"/>
          <w:i w:val="0"/>
        </w:rPr>
        <w:t>Assessment response</w:t>
      </w:r>
    </w:p>
    <w:p>
      <w:r>
        <w:rPr>
          <w:b/>
          <w:i w:val="0"/>
        </w:rPr>
        <w:t>Demonstration scope:</w:t>
      </w:r>
      <w:r>
        <w:rPr>
          <w:b w:val="0"/>
          <w:i w:val="0"/>
        </w:rPr>
        <w:t xml:space="preserve"> This illustrative response addresses whether figures, tables and supporting records. It shows the expected structure and level of explanation; project-specific values require verification.</w:t>
      </w:r>
    </w:p>
    <w:p>
      <w:r>
        <w:rPr>
          <w:b w:val="0"/>
          <w:i w:val="0"/>
        </w:rPr>
        <w:t>The final report should read as one controlled document with consistent terminology, numbering and cross-references. Conclusions must trace to evidence, while detailed data, drawings, calculations and consultation records should be placed in clearly referenced appendices. Tables and figures should include titles, sources, dates, units, legends and accessible explanatory text.</w:t>
      </w:r>
    </w:p>
    <w:p>
      <w:pPr>
        <w:pStyle w:val="Heading5"/>
      </w:pPr>
      <w:r>
        <w:rPr>
          <w:b w:val="0"/>
          <w:i w:val="0"/>
        </w:rPr>
        <w:t>Information to include in the controlled issue</w:t>
      </w:r>
    </w:p>
    <w:p>
      <w:pPr>
        <w:pStyle w:val="ListBullet"/>
      </w:pPr>
      <w:r>
        <w:rPr>
          <w:b w:val="0"/>
          <w:i w:val="0"/>
        </w:rPr>
        <w:t>Generate and verify the table of contents, lists of figures and tables, and appendix references.</w:t>
      </w:r>
    </w:p>
    <w:p>
      <w:pPr>
        <w:pStyle w:val="ListBullet"/>
      </w:pPr>
      <w:r>
        <w:rPr>
          <w:b w:val="0"/>
          <w:i w:val="0"/>
        </w:rPr>
        <w:t>Run a final terminology, unit, citation and cross-reference consistency check.</w:t>
      </w:r>
    </w:p>
    <w:p>
      <w:pPr>
        <w:pStyle w:val="ListBullet"/>
      </w:pPr>
      <w:r>
        <w:rPr>
          <w:b w:val="0"/>
          <w:i w:val="0"/>
        </w:rPr>
        <w:t>Complete technical, legal and editorial quality assurance before controlled issue.</w:t>
      </w:r>
    </w:p>
    <w:p>
      <w:pPr>
        <w:pStyle w:val="Heading5"/>
      </w:pPr>
      <w:r>
        <w:rPr>
          <w:b w:val="0"/>
          <w:i w:val="0"/>
        </w:rPr>
        <w:t>Evidence and limitations</w:t>
      </w:r>
    </w:p>
    <w:p>
      <w:r>
        <w:rPr>
          <w:b w:val="0"/>
          <w:i w:val="0"/>
        </w:rPr>
        <w:t>Project design drawings, field survey records, permits, specialist studies and consultation records. Final quantities, coordinates and thresholds must be confirmed against approved design data and applicable authority requirements.</w:t>
      </w:r>
    </w:p>
    <w:p>
      <w:r>
        <w:rPr>
          <w:b/>
          <w:i w:val="0"/>
        </w:rPr>
        <w:t>Section context:</w:t>
      </w:r>
      <w:r>
        <w:rPr>
          <w:b w:val="0"/>
          <w:i w:val="0"/>
        </w:rPr>
        <w:t xml:space="preserve"> A — APPENDICES AND EVIDENCE REGISTER.</w:t>
      </w:r>
    </w:p>
    <w:p/>
    <w:p>
      <w:r>
        <w:br w:type="page"/>
      </w:r>
    </w:p>
    <w:p>
      <w:pPr>
        <w:pStyle w:val="Heading1"/>
      </w:pPr>
      <w:r>
        <w:t>Evidence Traceability Matrix</w:t>
      </w:r>
    </w:p>
    <w:p>
      <w:r>
        <w:t>This matrix preserves the audit path from requirement to evidence, assessment, gap and recommended action. A missing source is reported explicitly and is not inferred by the AI.</w:t>
      </w:r>
    </w:p>
    <w:tbl>
      <w:tblPr>
        <w:tblStyle w:val="TableGrid"/>
        <w:tblW w:type="auto" w:w="0"/>
        <w:tblLook w:firstColumn="1" w:firstRow="1" w:lastColumn="0" w:lastRow="0" w:noHBand="0" w:noVBand="1" w:val="04A0"/>
      </w:tblPr>
      <w:tblGrid>
        <w:gridCol w:w="1096"/>
        <w:gridCol w:w="1096"/>
        <w:gridCol w:w="1096"/>
        <w:gridCol w:w="1096"/>
        <w:gridCol w:w="1096"/>
        <w:gridCol w:w="1096"/>
        <w:gridCol w:w="1096"/>
        <w:gridCol w:w="1096"/>
      </w:tblGrid>
      <w:tr>
        <w:tc>
          <w:tcPr>
            <w:tcW w:type="dxa" w:w="1096"/>
            <w:shd w:fill="123F2E"/>
          </w:tcPr>
          <w:p>
            <w:r>
              <w:rPr>
                <w:b/>
                <w:color w:val="FFFFFF"/>
              </w:rPr>
              <w:t>Requirement</w:t>
            </w:r>
          </w:p>
        </w:tc>
        <w:tc>
          <w:tcPr>
            <w:tcW w:type="dxa" w:w="1096"/>
            <w:shd w:fill="123F2E"/>
          </w:tcPr>
          <w:p>
            <w:r>
              <w:rPr>
                <w:b/>
                <w:color w:val="FFFFFF"/>
              </w:rPr>
              <w:t>Evidence / source</w:t>
            </w:r>
          </w:p>
        </w:tc>
        <w:tc>
          <w:tcPr>
            <w:tcW w:type="dxa" w:w="1096"/>
            <w:shd w:fill="123F2E"/>
          </w:tcPr>
          <w:p>
            <w:r>
              <w:rPr>
                <w:b/>
                <w:color w:val="FFFFFF"/>
              </w:rPr>
              <w:t>Assessment</w:t>
            </w:r>
          </w:p>
        </w:tc>
        <w:tc>
          <w:tcPr>
            <w:tcW w:type="dxa" w:w="1096"/>
            <w:shd w:fill="123F2E"/>
          </w:tcPr>
          <w:p>
            <w:r>
              <w:rPr>
                <w:b/>
                <w:color w:val="FFFFFF"/>
              </w:rPr>
              <w:t>Finding status</w:t>
            </w:r>
          </w:p>
        </w:tc>
        <w:tc>
          <w:tcPr>
            <w:tcW w:type="dxa" w:w="1096"/>
            <w:shd w:fill="123F2E"/>
          </w:tcPr>
          <w:p>
            <w:r>
              <w:rPr>
                <w:b/>
                <w:color w:val="FFFFFF"/>
              </w:rPr>
              <w:t>Gap</w:t>
            </w:r>
          </w:p>
        </w:tc>
        <w:tc>
          <w:tcPr>
            <w:tcW w:type="dxa" w:w="1096"/>
            <w:shd w:fill="123F2E"/>
          </w:tcPr>
          <w:p>
            <w:r>
              <w:rPr>
                <w:b/>
                <w:color w:val="FFFFFF"/>
              </w:rPr>
              <w:t>Recommendation</w:t>
            </w:r>
          </w:p>
        </w:tc>
        <w:tc>
          <w:tcPr>
            <w:tcW w:type="dxa" w:w="1096"/>
            <w:shd w:fill="123F2E"/>
          </w:tcPr>
          <w:p>
            <w:r>
              <w:rPr>
                <w:b/>
                <w:color w:val="FFFFFF"/>
              </w:rPr>
              <w:t>Reviewer decision</w:t>
            </w:r>
          </w:p>
        </w:tc>
        <w:tc>
          <w:tcPr>
            <w:tcW w:type="dxa" w:w="1096"/>
            <w:shd w:fill="123F2E"/>
          </w:tcPr>
          <w:p>
            <w:r>
              <w:rPr>
                <w:b/>
                <w:color w:val="FFFFFF"/>
              </w:rPr>
              <w:t>Confidence</w:t>
            </w:r>
          </w:p>
        </w:tc>
      </w:tr>
      <w:tr>
        <w:tc>
          <w:tcPr>
            <w:tcW w:type="dxa" w:w="1096"/>
            <w:shd w:fill="FFFFFF"/>
          </w:tcPr>
          <w:p>
            <w:r>
              <w:rPr>
                <w:color w:val="18372C"/>
              </w:rPr>
              <w:t>Review required</w:t>
            </w:r>
          </w:p>
        </w:tc>
        <w:tc>
          <w:tcPr>
            <w:tcW w:type="dxa" w:w="1096"/>
            <w:shd w:fill="FFFFFF"/>
          </w:tcPr>
          <w:p>
            <w:r>
              <w:rPr>
                <w:color w:val="18372C"/>
              </w:rPr>
              <w:t>Evidence not assessed</w:t>
            </w:r>
          </w:p>
        </w:tc>
        <w:tc>
          <w:tcPr>
            <w:tcW w:type="dxa" w:w="1096"/>
            <w:shd w:fill="FFFFFF"/>
          </w:tcPr>
          <w:p>
            <w:r>
              <w:rPr>
                <w:color w:val="18372C"/>
              </w:rPr>
              <w:t>Assessment pending</w:t>
            </w:r>
          </w:p>
        </w:tc>
        <w:tc>
          <w:tcPr>
            <w:tcW w:type="dxa" w:w="1096"/>
            <w:shd w:fill="FFFFFF"/>
          </w:tcPr>
          <w:p>
            <w:r>
              <w:rPr>
                <w:color w:val="18372C"/>
              </w:rPr>
              <w:t>Needs review</w:t>
            </w:r>
          </w:p>
        </w:tc>
        <w:tc>
          <w:tcPr>
            <w:tcW w:type="dxa" w:w="1096"/>
            <w:shd w:fill="FFFFFF"/>
          </w:tcPr>
          <w:p>
            <w:r>
              <w:rPr>
                <w:color w:val="18372C"/>
              </w:rPr>
              <w:t>Not established</w:t>
            </w:r>
          </w:p>
        </w:tc>
        <w:tc>
          <w:tcPr>
            <w:tcW w:type="dxa" w:w="1096"/>
            <w:shd w:fill="FFFFFF"/>
          </w:tcPr>
          <w:p>
            <w:r>
              <w:rPr>
                <w:color w:val="18372C"/>
              </w:rPr>
              <w:t>Complete RQEIA review</w:t>
            </w:r>
          </w:p>
        </w:tc>
        <w:tc>
          <w:tcPr>
            <w:tcW w:type="dxa" w:w="1096"/>
            <w:shd w:fill="FFFFFF"/>
          </w:tcPr>
          <w:p>
            <w:r>
              <w:rPr>
                <w:color w:val="18372C"/>
              </w:rPr>
              <w:t>Pending</w:t>
            </w:r>
          </w:p>
        </w:tc>
        <w:tc>
          <w:tcPr>
            <w:tcW w:type="dxa" w:w="1096"/>
            <w:shd w:fill="FFFFFF"/>
          </w:tcPr>
          <w:p>
            <w:r>
              <w:rPr>
                <w:color w:val="18372C"/>
              </w:rPr>
              <w:t>Not assessed</w:t>
            </w:r>
          </w:p>
        </w:tc>
      </w:tr>
    </w:tbl>
    <w:p>
      <w:pPr>
        <w:pStyle w:val="Heading1"/>
      </w:pPr>
      <w:r>
        <w:t>Regulatory and Compliance Matrix</w:t>
      </w:r>
    </w:p>
    <w:tbl>
      <w:tblPr>
        <w:tblStyle w:val="TableGrid"/>
        <w:tblW w:type="auto" w:w="0"/>
        <w:tblLook w:firstColumn="1" w:firstRow="1" w:lastColumn="0" w:lastRow="0" w:noHBand="0" w:noVBand="1" w:val="04A0"/>
      </w:tblPr>
      <w:tblGrid>
        <w:gridCol w:w="1461"/>
        <w:gridCol w:w="1461"/>
        <w:gridCol w:w="1461"/>
        <w:gridCol w:w="1461"/>
        <w:gridCol w:w="1461"/>
        <w:gridCol w:w="1461"/>
      </w:tblGrid>
      <w:tr>
        <w:tc>
          <w:tcPr>
            <w:tcW w:type="dxa" w:w="1461"/>
            <w:shd w:fill="123F2E"/>
          </w:tcPr>
          <w:p>
            <w:r>
              <w:rPr>
                <w:b/>
                <w:color w:val="FFFFFF"/>
              </w:rPr>
              <w:t>Reference</w:t>
            </w:r>
          </w:p>
        </w:tc>
        <w:tc>
          <w:tcPr>
            <w:tcW w:type="dxa" w:w="1461"/>
            <w:shd w:fill="123F2E"/>
          </w:tcPr>
          <w:p>
            <w:r>
              <w:rPr>
                <w:b/>
                <w:color w:val="FFFFFF"/>
              </w:rPr>
              <w:t>Requirement</w:t>
            </w:r>
          </w:p>
        </w:tc>
        <w:tc>
          <w:tcPr>
            <w:tcW w:type="dxa" w:w="1461"/>
            <w:shd w:fill="123F2E"/>
          </w:tcPr>
          <w:p>
            <w:r>
              <w:rPr>
                <w:b/>
                <w:color w:val="FFFFFF"/>
              </w:rPr>
              <w:t>Applicability</w:t>
            </w:r>
          </w:p>
        </w:tc>
        <w:tc>
          <w:tcPr>
            <w:tcW w:type="dxa" w:w="1461"/>
            <w:shd w:fill="123F2E"/>
          </w:tcPr>
          <w:p>
            <w:r>
              <w:rPr>
                <w:b/>
                <w:color w:val="FFFFFF"/>
              </w:rPr>
              <w:t>Evidence</w:t>
            </w:r>
          </w:p>
        </w:tc>
        <w:tc>
          <w:tcPr>
            <w:tcW w:type="dxa" w:w="1461"/>
            <w:shd w:fill="123F2E"/>
          </w:tcPr>
          <w:p>
            <w:r>
              <w:rPr>
                <w:b/>
                <w:color w:val="FFFFFF"/>
              </w:rPr>
              <w:t>Assessment</w:t>
            </w:r>
          </w:p>
        </w:tc>
        <w:tc>
          <w:tcPr>
            <w:tcW w:type="dxa" w:w="1461"/>
            <w:shd w:fill="123F2E"/>
          </w:tcPr>
          <w:p>
            <w:r>
              <w:rPr>
                <w:b/>
                <w:color w:val="FFFFFF"/>
              </w:rPr>
              <w:t>Required action</w:t>
            </w:r>
          </w:p>
        </w:tc>
      </w:tr>
      <w:tr>
        <w:tc>
          <w:tcPr>
            <w:tcW w:type="dxa" w:w="1461"/>
            <w:shd w:fill="FFFFFF"/>
          </w:tcPr>
          <w:p>
            <w:r>
              <w:rPr>
                <w:color w:val="18372C"/>
              </w:rPr>
              <w:t>Pending</w:t>
            </w:r>
          </w:p>
        </w:tc>
        <w:tc>
          <w:tcPr>
            <w:tcW w:type="dxa" w:w="1461"/>
            <w:shd w:fill="FFFFFF"/>
          </w:tcPr>
          <w:p>
            <w:r>
              <w:rPr>
                <w:color w:val="18372C"/>
              </w:rPr>
              <w:t>Applicable requirements not yet assessed</w:t>
            </w:r>
          </w:p>
        </w:tc>
        <w:tc>
          <w:tcPr>
            <w:tcW w:type="dxa" w:w="1461"/>
            <w:shd w:fill="FFFFFF"/>
          </w:tcPr>
          <w:p>
            <w:r>
              <w:rPr>
                <w:color w:val="18372C"/>
              </w:rPr>
              <w:t>Requires professional confirmation</w:t>
            </w:r>
          </w:p>
        </w:tc>
        <w:tc>
          <w:tcPr>
            <w:tcW w:type="dxa" w:w="1461"/>
            <w:shd w:fill="FFFFFF"/>
          </w:tcPr>
          <w:p>
            <w:r>
              <w:rPr>
                <w:color w:val="18372C"/>
              </w:rPr>
              <w:t>Evidence not assessed</w:t>
            </w:r>
          </w:p>
        </w:tc>
        <w:tc>
          <w:tcPr>
            <w:tcW w:type="dxa" w:w="1461"/>
            <w:shd w:fill="FFFFFF"/>
          </w:tcPr>
          <w:p>
            <w:r>
              <w:rPr>
                <w:color w:val="18372C"/>
              </w:rPr>
              <w:t>Needs review</w:t>
            </w:r>
          </w:p>
        </w:tc>
        <w:tc>
          <w:tcPr>
            <w:tcW w:type="dxa" w:w="1461"/>
            <w:shd w:fill="FFFFFF"/>
          </w:tcPr>
          <w:p>
            <w:r>
              <w:rPr>
                <w:color w:val="18372C"/>
              </w:rPr>
              <w:t>Complete regulatory and RQEIA review</w:t>
            </w:r>
          </w:p>
        </w:tc>
      </w:tr>
    </w:tbl>
    <w:p>
      <w:r>
        <w:br w:type="page"/>
      </w:r>
    </w:p>
    <w:p>
      <w:pPr>
        <w:pStyle w:val="Heading1"/>
      </w:pPr>
      <w:r>
        <w:t>Impact and Mitigation Register</w:t>
      </w:r>
    </w:p>
    <w:p>
      <w:r>
        <w:t>Actions are populated from recorded assessment findings. Ownership and due dates remain pending until assigned by the professional project team.</w:t>
      </w:r>
    </w:p>
    <w:tbl>
      <w:tblPr>
        <w:tblStyle w:val="TableGrid"/>
        <w:tblW w:type="auto" w:w="0"/>
        <w:tblLook w:firstColumn="1" w:firstRow="1" w:lastColumn="0" w:lastRow="0" w:noHBand="0" w:noVBand="1" w:val="04A0"/>
      </w:tblPr>
      <w:tblGrid>
        <w:gridCol w:w="1252"/>
        <w:gridCol w:w="1252"/>
        <w:gridCol w:w="1252"/>
        <w:gridCol w:w="1252"/>
        <w:gridCol w:w="1252"/>
        <w:gridCol w:w="1252"/>
        <w:gridCol w:w="1252"/>
      </w:tblGrid>
      <w:tr>
        <w:tc>
          <w:tcPr>
            <w:tcW w:type="dxa" w:w="1252"/>
            <w:shd w:fill="123F2E"/>
          </w:tcPr>
          <w:p>
            <w:r>
              <w:rPr>
                <w:b/>
                <w:color w:val="FFFFFF"/>
              </w:rPr>
              <w:t>ID</w:t>
            </w:r>
          </w:p>
        </w:tc>
        <w:tc>
          <w:tcPr>
            <w:tcW w:type="dxa" w:w="1252"/>
            <w:shd w:fill="123F2E"/>
          </w:tcPr>
          <w:p>
            <w:r>
              <w:rPr>
                <w:b/>
                <w:color w:val="FFFFFF"/>
              </w:rPr>
              <w:t>Assessment area</w:t>
            </w:r>
          </w:p>
        </w:tc>
        <w:tc>
          <w:tcPr>
            <w:tcW w:type="dxa" w:w="1252"/>
            <w:shd w:fill="123F2E"/>
          </w:tcPr>
          <w:p>
            <w:r>
              <w:rPr>
                <w:b/>
                <w:color w:val="FFFFFF"/>
              </w:rPr>
              <w:t>Impact / finding</w:t>
            </w:r>
          </w:p>
        </w:tc>
        <w:tc>
          <w:tcPr>
            <w:tcW w:type="dxa" w:w="1252"/>
            <w:shd w:fill="123F2E"/>
          </w:tcPr>
          <w:p>
            <w:r>
              <w:rPr>
                <w:b/>
                <w:color w:val="FFFFFF"/>
              </w:rPr>
              <w:t>Mitigation / action</w:t>
            </w:r>
          </w:p>
        </w:tc>
        <w:tc>
          <w:tcPr>
            <w:tcW w:type="dxa" w:w="1252"/>
            <w:shd w:fill="123F2E"/>
          </w:tcPr>
          <w:p>
            <w:r>
              <w:rPr>
                <w:b/>
                <w:color w:val="FFFFFF"/>
              </w:rPr>
              <w:t>Status</w:t>
            </w:r>
          </w:p>
        </w:tc>
        <w:tc>
          <w:tcPr>
            <w:tcW w:type="dxa" w:w="1252"/>
            <w:shd w:fill="123F2E"/>
          </w:tcPr>
          <w:p>
            <w:r>
              <w:rPr>
                <w:b/>
                <w:color w:val="FFFFFF"/>
              </w:rPr>
              <w:t>Owner</w:t>
            </w:r>
          </w:p>
        </w:tc>
        <w:tc>
          <w:tcPr>
            <w:tcW w:type="dxa" w:w="1252"/>
            <w:shd w:fill="123F2E"/>
          </w:tcPr>
          <w:p>
            <w:r>
              <w:rPr>
                <w:b/>
                <w:color w:val="FFFFFF"/>
              </w:rPr>
              <w:t>Due</w:t>
            </w:r>
          </w:p>
        </w:tc>
      </w:tr>
      <w:tr>
        <w:tc>
          <w:tcPr>
            <w:tcW w:type="dxa" w:w="1252"/>
            <w:shd w:fill="FFFFFF"/>
          </w:tcPr>
          <w:p>
            <w:r>
              <w:rPr>
                <w:color w:val="18372C"/>
              </w:rPr>
              <w:t>Pending</w:t>
            </w:r>
          </w:p>
        </w:tc>
        <w:tc>
          <w:tcPr>
            <w:tcW w:type="dxa" w:w="1252"/>
            <w:shd w:fill="FFFFFF"/>
          </w:tcPr>
          <w:p>
            <w:r>
              <w:rPr>
                <w:color w:val="18372C"/>
              </w:rPr>
              <w:t>RQEIA review</w:t>
            </w:r>
          </w:p>
        </w:tc>
        <w:tc>
          <w:tcPr>
            <w:tcW w:type="dxa" w:w="1252"/>
            <w:shd w:fill="FFFFFF"/>
          </w:tcPr>
          <w:p>
            <w:r>
              <w:rPr>
                <w:color w:val="18372C"/>
              </w:rPr>
              <w:t>Impacts not yet assessed</w:t>
            </w:r>
          </w:p>
        </w:tc>
        <w:tc>
          <w:tcPr>
            <w:tcW w:type="dxa" w:w="1252"/>
            <w:shd w:fill="FFFFFF"/>
          </w:tcPr>
          <w:p>
            <w:r>
              <w:rPr>
                <w:color w:val="18372C"/>
              </w:rPr>
              <w:t>Complete assessment before issue</w:t>
            </w:r>
          </w:p>
        </w:tc>
        <w:tc>
          <w:tcPr>
            <w:tcW w:type="dxa" w:w="1252"/>
            <w:shd w:fill="FFFFFF"/>
          </w:tcPr>
          <w:p>
            <w:r>
              <w:rPr>
                <w:color w:val="18372C"/>
              </w:rPr>
              <w:t>Open</w:t>
            </w:r>
          </w:p>
        </w:tc>
        <w:tc>
          <w:tcPr>
            <w:tcW w:type="dxa" w:w="1252"/>
            <w:shd w:fill="FFFFFF"/>
          </w:tcPr>
          <w:p>
            <w:r>
              <w:rPr>
                <w:color w:val="18372C"/>
              </w:rPr>
              <w:t>To be assigned</w:t>
            </w:r>
          </w:p>
        </w:tc>
        <w:tc>
          <w:tcPr>
            <w:tcW w:type="dxa" w:w="1252"/>
            <w:shd w:fill="FFFFFF"/>
          </w:tcPr>
          <w:p>
            <w:r>
              <w:rPr>
                <w:color w:val="18372C"/>
              </w:rPr>
              <w:t>To be confirmed</w:t>
            </w:r>
          </w:p>
        </w:tc>
      </w:tr>
    </w:tbl>
    <w:p>
      <w:r>
        <w:br w:type="page"/>
      </w:r>
    </w:p>
    <w:p>
      <w:pPr>
        <w:pStyle w:val="Heading1"/>
      </w:pPr>
      <w:r>
        <w:t>Conclusions and Decision Readiness</w:t>
      </w:r>
    </w:p>
    <w:p>
      <w:r>
        <w:t>Decision readiness has not been assessed because no completed RQEIA review is linked.</w:t>
      </w:r>
    </w:p>
    <w:p>
      <w:pPr>
        <w:pStyle w:val="Heading2"/>
      </w:pPr>
      <w:r>
        <w:t>Authorised Reviewer Decision</w:t>
      </w:r>
    </w:p>
    <w:tbl>
      <w:tblPr>
        <w:tblStyle w:val="TableGrid"/>
        <w:tblW w:type="auto" w:w="0"/>
        <w:tblLook w:firstColumn="1" w:firstRow="1" w:lastColumn="0" w:lastRow="0" w:noHBand="0" w:noVBand="1" w:val="04A0"/>
      </w:tblPr>
      <w:tblGrid>
        <w:gridCol w:w="2922"/>
        <w:gridCol w:w="2922"/>
        <w:gridCol w:w="2922"/>
      </w:tblGrid>
      <w:tr>
        <w:tc>
          <w:tcPr>
            <w:tcW w:type="dxa" w:w="2922"/>
            <w:shd w:fill="123F2E"/>
          </w:tcPr>
          <w:p>
            <w:r>
              <w:rPr>
                <w:b/>
                <w:color w:val="FFFFFF"/>
              </w:rPr>
              <w:t>Decision</w:t>
            </w:r>
          </w:p>
        </w:tc>
        <w:tc>
          <w:tcPr>
            <w:tcW w:type="dxa" w:w="2922"/>
            <w:shd w:fill="123F2E"/>
          </w:tcPr>
          <w:p>
            <w:r>
              <w:rPr>
                <w:b/>
                <w:color w:val="FFFFFF"/>
              </w:rPr>
              <w:t>Reviewer note</w:t>
            </w:r>
          </w:p>
        </w:tc>
        <w:tc>
          <w:tcPr>
            <w:tcW w:type="dxa" w:w="2922"/>
            <w:shd w:fill="123F2E"/>
          </w:tcPr>
          <w:p>
            <w:r>
              <w:rPr>
                <w:b/>
                <w:color w:val="FFFFFF"/>
              </w:rPr>
              <w:t>Date</w:t>
            </w:r>
          </w:p>
        </w:tc>
      </w:tr>
      <w:tr>
        <w:tc>
          <w:tcPr>
            <w:tcW w:type="dxa" w:w="2922"/>
            <w:shd w:fill="FFFFFF"/>
          </w:tcPr>
          <w:p>
            <w:r>
              <w:rPr>
                <w:color w:val="18372C"/>
              </w:rPr>
              <w:t>Pending authorised review</w:t>
            </w:r>
          </w:p>
        </w:tc>
        <w:tc>
          <w:tcPr>
            <w:tcW w:type="dxa" w:w="2922"/>
            <w:shd w:fill="FFFFFF"/>
          </w:tcPr>
          <w:p>
            <w:r>
              <w:rPr>
                <w:color w:val="18372C"/>
              </w:rPr>
              <w:t>AI output is advisory and cannot approve or issue the EIA.</w:t>
            </w:r>
          </w:p>
        </w:tc>
        <w:tc>
          <w:tcPr>
            <w:tcW w:type="dxa" w:w="2922"/>
            <w:shd w:fill="FFFFFF"/>
          </w:tcPr>
          <w:p>
            <w:r>
              <w:rPr>
                <w:color w:val="18372C"/>
              </w:rPr>
              <w:t>Pending</w:t>
            </w:r>
          </w:p>
        </w:tc>
      </w:tr>
    </w:tbl>
    <w:p>
      <w:r>
        <w:br w:type="page"/>
      </w:r>
    </w:p>
    <w:p>
      <w:pPr>
        <w:pStyle w:val="Heading1"/>
      </w:pPr>
      <w:r>
        <w:t>Evidence Register</w:t>
      </w:r>
    </w:p>
    <w:p>
      <w:r>
        <w:rPr>
          <w:i/>
        </w:rPr>
        <w:t>No subsection attachments are registered in this report snapshot. Evidence gaps must be resolved or formally accepted by the authorised reviewer before controlled issue.</w:t>
      </w:r>
    </w:p>
    <w:p>
      <w:r>
        <w:br w:type="page"/>
      </w:r>
    </w:p>
    <w:p>
      <w:pPr>
        <w:pStyle w:val="Heading1"/>
      </w:pPr>
      <w:r>
        <w:t>Figures and Tables Register</w:t>
      </w:r>
    </w:p>
    <w:tbl>
      <w:tblPr>
        <w:tblStyle w:val="TableGrid"/>
        <w:tblW w:type="auto" w:w="0"/>
        <w:tblLook w:firstColumn="1" w:firstRow="1" w:lastColumn="0" w:lastRow="0" w:noHBand="0" w:noVBand="1" w:val="04A0"/>
      </w:tblPr>
      <w:tblGrid>
        <w:gridCol w:w="4382"/>
        <w:gridCol w:w="4382"/>
      </w:tblGrid>
      <w:tr>
        <w:tc>
          <w:tcPr>
            <w:tcW w:type="dxa" w:w="4382"/>
            <w:shd w:fill="123F2E"/>
          </w:tcPr>
          <w:p>
            <w:r>
              <w:rPr>
                <w:b/>
                <w:color w:val="FFFFFF"/>
              </w:rPr>
              <w:t>Figure</w:t>
            </w:r>
          </w:p>
        </w:tc>
        <w:tc>
          <w:tcPr>
            <w:tcW w:type="dxa" w:w="4382"/>
            <w:shd w:fill="123F2E"/>
          </w:tcPr>
          <w:p>
            <w:r>
              <w:rPr>
                <w:b/>
                <w:color w:val="FFFFFF"/>
              </w:rPr>
              <w:t>Title</w:t>
            </w:r>
          </w:p>
        </w:tc>
      </w:tr>
      <w:tr>
        <w:tc>
          <w:tcPr>
            <w:tcW w:type="dxa" w:w="4382"/>
            <w:shd w:fill="FFFFFF"/>
          </w:tcPr>
          <w:p>
            <w:r>
              <w:rPr>
                <w:color w:val="18372C"/>
              </w:rPr>
              <w:t>1</w:t>
            </w:r>
          </w:p>
        </w:tc>
        <w:tc>
          <w:tcPr>
            <w:tcW w:type="dxa" w:w="4382"/>
            <w:shd w:fill="FFFFFF"/>
          </w:tcPr>
          <w:p>
            <w:r>
              <w:rPr>
                <w:color w:val="18372C"/>
              </w:rPr>
              <w:t>Content volume by EIA section</w:t>
            </w:r>
          </w:p>
        </w:tc>
      </w:tr>
      <w:tr>
        <w:tc>
          <w:tcPr>
            <w:tcW w:type="dxa" w:w="4382"/>
            <w:shd w:fill="F1F7F3"/>
          </w:tcPr>
          <w:p>
            <w:r>
              <w:rPr>
                <w:color w:val="18372C"/>
              </w:rPr>
              <w:t>2</w:t>
            </w:r>
          </w:p>
        </w:tc>
        <w:tc>
          <w:tcPr>
            <w:tcW w:type="dxa" w:w="4382"/>
            <w:shd w:fill="F1F7F3"/>
          </w:tcPr>
          <w:p>
            <w:r>
              <w:rPr>
                <w:color w:val="18372C"/>
              </w:rPr>
              <w:t>Distribution of subsections across the report</w:t>
            </w:r>
          </w:p>
        </w:tc>
      </w:tr>
    </w:tbl>
    <w:p>
      <w:r>
        <w:t>Additional editor and evidence images are inserted within their source subsection and captioned during PDF generation.</w:t>
      </w:r>
    </w:p>
    <w:p/>
    <w:p/>
    <w:p>
      <w:r>
        <w:rPr>
          <w:color w:val="DCE6E1"/>
        </w:rPr>
        <w:t>————————————————————————————————————————</w:t>
      </w:r>
    </w:p>
    <w:p>
      <w:r>
        <w:rPr>
          <w:i/>
          <w:color w:val="9AABA3"/>
          <w:sz w:val="16"/>
        </w:rPr>
        <w:t>Document ID: e2daf394-afef-4524-a483-2fb008564092 | Generated: 2026-09-29 00:22 UTC | EnviroQuant EIA Platform</w:t>
      </w:r>
    </w:p>
    <w:sectPr w:rsidR="00FC693F" w:rsidRPr="0006063C" w:rsidSect="00034616">
      <w:headerReference w:type="default" r:id="rId9"/>
      <w:footerReference w:type="default" r:id="rId10"/>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Kuwait EIA End-to-End Demonstration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837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shd w:fill="123F2E"/>
    </w:pPr>
    <w:rPr>
      <w:rFonts w:asciiTheme="majorHAnsi" w:eastAsiaTheme="majorEastAsia" w:hAnsiTheme="majorHAnsi" w:cstheme="majorBidi" w:ascii="Calibri" w:hAnsi="Calibri"/>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23F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23F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