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287451"/>
          <w:sz w:val="28"/>
        </w:rPr>
        <w:t>ENVIRONMENTAL IMPACT ASSESSMENT</w:t>
      </w:r>
    </w:p>
    <w:p/>
    <w:p>
      <w:pPr>
        <w:jc w:val="center"/>
      </w:pPr>
      <w:r>
        <w:rPr>
          <w:rFonts w:ascii="Calibri" w:hAnsi="Calibri"/>
          <w:b/>
          <w:color w:val="123F2E"/>
          <w:sz w:val="52"/>
        </w:rPr>
        <w:t>TIERS Limited EIA Document</w:t>
      </w:r>
    </w:p>
    <w:p/>
    <w:p>
      <w:pPr>
        <w:jc w:val="center"/>
      </w:pPr>
      <w:r>
        <w:rPr>
          <w:color w:val="344F44"/>
          <w:sz w:val="26"/>
        </w:rPr>
        <w:t>Project: TIERS Limited</w:t>
      </w:r>
    </w:p>
    <w:p>
      <w:pPr>
        <w:jc w:val="center"/>
      </w:pPr>
      <w:r>
        <w:rPr>
          <w:color w:val="52675E"/>
          <w:sz w:val="22"/>
        </w:rPr>
        <w:t>Location: Pakistan — MIOSUMER BOULAVARD</w:t>
      </w:r>
    </w:p>
    <w:p>
      <w:pPr>
        <w:jc w:val="center"/>
      </w:pPr>
      <w:r>
        <w:rPr>
          <w:color w:val="52675E"/>
          <w:sz w:val="22"/>
        </w:rPr>
        <w:t>Sector: ABC</w:t>
      </w:r>
    </w:p>
    <w:p/>
    <w:p/>
    <w:p/>
    <w:p>
      <w:pPr>
        <w:jc w:val="center"/>
      </w:pPr>
      <w:r>
        <w:rPr>
          <w:color w:val="697A73"/>
          <w:sz w:val="20"/>
        </w:rPr>
        <w:t>Generated: 28 September 2026</w:t>
      </w:r>
    </w:p>
    <w:p/>
    <w:p/>
    <w:p>
      <w:pPr>
        <w:jc w:val="center"/>
      </w:pPr>
      <w:r>
        <w:rPr>
          <w:i/>
          <w:color w:val="9AABA3"/>
          <w:sz w:val="18"/>
        </w:rPr>
        <w:t>Prepared using EnviroQuant — AI-Powered EIA Platform</w:t>
      </w:r>
    </w:p>
    <w:p>
      <w:r>
        <w:br w:type="page"/>
      </w:r>
    </w:p>
    <w:p>
      <w:pPr>
        <w:pStyle w:val="Heading1"/>
      </w:pPr>
      <w:r>
        <w:t>Document Control</w:t>
      </w:r>
    </w:p>
    <w:p>
      <w:r>
        <w:rPr>
          <w:color w:val="52675E"/>
        </w:rPr>
        <w:t>Professional issue, revision, responsibility and confidentiality record. Final issue remains subject to authorised human review and approval.</w:t>
      </w:r>
    </w:p>
    <w:tbl>
      <w:tblPr>
        <w:tblStyle w:val="TableGrid"/>
        <w:tblW w:type="auto" w:w="0"/>
        <w:jc w:val="center"/>
        <w:tblLook w:firstColumn="1" w:firstRow="1" w:lastColumn="0" w:lastRow="0" w:noHBand="0" w:noVBand="1" w:val="04A0"/>
      </w:tblPr>
      <w:tblGrid>
        <w:gridCol w:w="4382"/>
        <w:gridCol w:w="4382"/>
      </w:tblGrid>
      <w:tr>
        <w:tc>
          <w:tcPr>
            <w:tcW w:type="dxa" w:w="4382"/>
            <w:vAlign w:val="center"/>
          </w:tcPr>
          <w:p>
            <w:r>
              <w:rPr>
                <w:b/>
              </w:rPr>
              <w:t>Project</w:t>
            </w:r>
          </w:p>
        </w:tc>
        <w:tc>
          <w:tcPr>
            <w:tcW w:type="dxa" w:w="4382"/>
            <w:vAlign w:val="center"/>
          </w:tcPr>
          <w:p>
            <w:r>
              <w:t>TIERS Limited</w:t>
            </w:r>
          </w:p>
        </w:tc>
      </w:tr>
      <w:tr>
        <w:tc>
          <w:tcPr>
            <w:tcW w:type="dxa" w:w="4382"/>
            <w:vAlign w:val="center"/>
          </w:tcPr>
          <w:p>
            <w:r>
              <w:rPr>
                <w:b/>
              </w:rPr>
              <w:t>Report</w:t>
            </w:r>
          </w:p>
        </w:tc>
        <w:tc>
          <w:tcPr>
            <w:tcW w:type="dxa" w:w="4382"/>
            <w:vAlign w:val="center"/>
          </w:tcPr>
          <w:p>
            <w:r>
              <w:t>TIERS Limited EIA Document</w:t>
            </w:r>
          </w:p>
        </w:tc>
      </w:tr>
      <w:tr>
        <w:tc>
          <w:tcPr>
            <w:tcW w:type="dxa" w:w="4382"/>
            <w:vAlign w:val="center"/>
          </w:tcPr>
          <w:p>
            <w:r>
              <w:rPr>
                <w:b/>
              </w:rPr>
              <w:t>Document number</w:t>
            </w:r>
          </w:p>
        </w:tc>
        <w:tc>
          <w:tcPr>
            <w:tcW w:type="dxa" w:w="4382"/>
            <w:vAlign w:val="center"/>
          </w:tcPr>
          <w:p>
            <w:r>
              <w:t>EQ-EIA-5638ECB6</w:t>
            </w:r>
          </w:p>
        </w:tc>
      </w:tr>
      <w:tr>
        <w:tc>
          <w:tcPr>
            <w:tcW w:type="dxa" w:w="4382"/>
            <w:vAlign w:val="center"/>
          </w:tcPr>
          <w:p>
            <w:r>
              <w:rPr>
                <w:b/>
              </w:rPr>
              <w:t>Revision</w:t>
            </w:r>
          </w:p>
        </w:tc>
        <w:tc>
          <w:tcPr>
            <w:tcW w:type="dxa" w:w="4382"/>
            <w:vAlign w:val="center"/>
          </w:tcPr>
          <w:p>
            <w:r>
              <w:t>Working draft</w:t>
            </w:r>
          </w:p>
        </w:tc>
      </w:tr>
      <w:tr>
        <w:tc>
          <w:tcPr>
            <w:tcW w:type="dxa" w:w="4382"/>
            <w:vAlign w:val="center"/>
          </w:tcPr>
          <w:p>
            <w:r>
              <w:rPr>
                <w:b/>
              </w:rPr>
              <w:t>Issue purpose</w:t>
            </w:r>
          </w:p>
        </w:tc>
        <w:tc>
          <w:tcPr>
            <w:tcW w:type="dxa" w:w="4382"/>
            <w:vAlign w:val="center"/>
          </w:tcPr>
          <w:p>
            <w:r>
              <w:t>Professional review and editing</w:t>
            </w:r>
          </w:p>
        </w:tc>
      </w:tr>
      <w:tr>
        <w:tc>
          <w:tcPr>
            <w:tcW w:type="dxa" w:w="4382"/>
            <w:vAlign w:val="center"/>
          </w:tcPr>
          <w:p>
            <w:r>
              <w:rPr>
                <w:b/>
              </w:rPr>
              <w:t>Classification</w:t>
            </w:r>
          </w:p>
        </w:tc>
        <w:tc>
          <w:tcPr>
            <w:tcW w:type="dxa" w:w="4382"/>
            <w:vAlign w:val="center"/>
          </w:tcPr>
          <w:p>
            <w:r>
              <w:t>Project controlled</w:t>
            </w:r>
          </w:p>
        </w:tc>
      </w:tr>
    </w:tbl>
    <w:p>
      <w:pPr>
        <w:pStyle w:val="Heading2"/>
      </w:pPr>
      <w:r>
        <w:t>Preparation and Approval</w:t>
      </w:r>
    </w:p>
    <w:tbl>
      <w:tblPr>
        <w:tblStyle w:val="TableGrid"/>
        <w:tblW w:type="auto" w:w="0"/>
        <w:jc w:val="center"/>
        <w:tblLook w:firstColumn="1" w:firstRow="1" w:lastColumn="0" w:lastRow="0" w:noHBand="0" w:noVBand="1" w:val="04A0"/>
      </w:tblPr>
      <w:tblGrid>
        <w:gridCol w:w="2191"/>
        <w:gridCol w:w="2191"/>
        <w:gridCol w:w="2191"/>
        <w:gridCol w:w="2191"/>
      </w:tblGrid>
      <w:tr>
        <w:tc>
          <w:tcPr>
            <w:tcW w:type="dxa" w:w="2191"/>
          </w:tcPr>
          <w:p>
            <w:r>
              <w:rPr>
                <w:b/>
              </w:rPr>
              <w:t>Role</w:t>
            </w:r>
          </w:p>
        </w:tc>
        <w:tc>
          <w:tcPr>
            <w:tcW w:type="dxa" w:w="2191"/>
          </w:tcPr>
          <w:p>
            <w:r>
              <w:rPr>
                <w:b/>
              </w:rPr>
              <w:t>Name / organisation</w:t>
            </w:r>
          </w:p>
        </w:tc>
        <w:tc>
          <w:tcPr>
            <w:tcW w:type="dxa" w:w="2191"/>
          </w:tcPr>
          <w:p>
            <w:r>
              <w:rPr>
                <w:b/>
              </w:rPr>
              <w:t>Decision / signature</w:t>
            </w:r>
          </w:p>
        </w:tc>
        <w:tc>
          <w:tcPr>
            <w:tcW w:type="dxa" w:w="2191"/>
          </w:tcPr>
          <w:p>
            <w:r>
              <w:rPr>
                <w:b/>
              </w:rPr>
              <w:t>Date</w:t>
            </w:r>
          </w:p>
        </w:tc>
      </w:tr>
      <w:tr>
        <w:tc>
          <w:tcPr>
            <w:tcW w:type="dxa" w:w="2191"/>
          </w:tcPr>
          <w:p>
            <w:r>
              <w:t>Prepared by</w:t>
            </w:r>
          </w:p>
        </w:tc>
        <w:tc>
          <w:tcPr>
            <w:tcW w:type="dxa" w:w="2191"/>
          </w:tcPr>
          <w:p>
            <w:r/>
          </w:p>
        </w:tc>
        <w:tc>
          <w:tcPr>
            <w:tcW w:type="dxa" w:w="2191"/>
          </w:tcPr>
          <w:p>
            <w:r/>
          </w:p>
        </w:tc>
        <w:tc>
          <w:tcPr>
            <w:tcW w:type="dxa" w:w="2191"/>
          </w:tcPr>
          <w:p>
            <w:r/>
          </w:p>
        </w:tc>
      </w:tr>
      <w:tr>
        <w:tc>
          <w:tcPr>
            <w:tcW w:type="dxa" w:w="2191"/>
          </w:tcPr>
          <w:p>
            <w:r>
              <w:t>Checked by</w:t>
            </w:r>
          </w:p>
        </w:tc>
        <w:tc>
          <w:tcPr>
            <w:tcW w:type="dxa" w:w="2191"/>
          </w:tcPr>
          <w:p>
            <w:r/>
          </w:p>
        </w:tc>
        <w:tc>
          <w:tcPr>
            <w:tcW w:type="dxa" w:w="2191"/>
          </w:tcPr>
          <w:p>
            <w:r/>
          </w:p>
        </w:tc>
        <w:tc>
          <w:tcPr>
            <w:tcW w:type="dxa" w:w="2191"/>
          </w:tcPr>
          <w:p>
            <w:r/>
          </w:p>
        </w:tc>
      </w:tr>
      <w:tr>
        <w:tc>
          <w:tcPr>
            <w:tcW w:type="dxa" w:w="2191"/>
          </w:tcPr>
          <w:p>
            <w:r>
              <w:t>Approved by</w:t>
            </w:r>
          </w:p>
        </w:tc>
        <w:tc>
          <w:tcPr>
            <w:tcW w:type="dxa" w:w="2191"/>
          </w:tcPr>
          <w:p>
            <w:r/>
          </w:p>
        </w:tc>
        <w:tc>
          <w:tcPr>
            <w:tcW w:type="dxa" w:w="2191"/>
          </w:tcPr>
          <w:p>
            <w:r/>
          </w:p>
        </w:tc>
        <w:tc>
          <w:tcPr>
            <w:tcW w:type="dxa" w:w="2191"/>
          </w:tcPr>
          <w:p>
            <w:r/>
          </w:p>
        </w:tc>
      </w:tr>
    </w:tbl>
    <w:p>
      <w:pPr>
        <w:spacing w:before="200"/>
      </w:pPr>
      <w:r>
        <w:rPr>
          <w:i/>
          <w:color w:val="697A73"/>
          <w:sz w:val="18"/>
        </w:rPr>
        <w:t>AI supports evidence organisation, drafting and quality checks. It does not constitute regulatory approval or replace professional judgement.</w:t>
      </w:r>
    </w:p>
    <w:p>
      <w:r>
        <w:br w:type="page"/>
      </w:r>
    </w:p>
    <w:p>
      <w:pPr>
        <w:pStyle w:val="Heading1"/>
      </w:pPr>
      <w:r>
        <w:t>Table of Contents</w:t>
      </w:r>
    </w:p>
    <w:p>
      <w:r>
        <w:rPr>
          <w:b/>
          <w:color w:val="123F2E"/>
          <w:sz w:val="22"/>
        </w:rPr>
        <w:t>1. EXECUTIVE SUMMARY</w:t>
      </w:r>
    </w:p>
    <w:p>
      <w:pPr>
        <w:ind w:left="480"/>
      </w:pPr>
      <w:r>
        <w:rPr>
          <w:color w:val="52675E"/>
          <w:sz w:val="20"/>
        </w:rPr>
        <w:t>1.1 Non-Technical Executive Summary</w:t>
      </w:r>
    </w:p>
    <w:p>
      <w:pPr>
        <w:ind w:left="480"/>
      </w:pPr>
      <w:r>
        <w:rPr>
          <w:color w:val="52675E"/>
          <w:sz w:val="20"/>
        </w:rPr>
        <w:t>1.2 Key Impacts, Mitigation and Decision Readiness</w:t>
      </w:r>
    </w:p>
    <w:p>
      <w:r>
        <w:rPr>
          <w:b/>
          <w:color w:val="123F2E"/>
          <w:sz w:val="22"/>
        </w:rPr>
        <w:t>2. PROJECT DESCRIPTION</w:t>
      </w:r>
    </w:p>
    <w:p>
      <w:pPr>
        <w:ind w:left="480"/>
      </w:pPr>
      <w:r>
        <w:rPr>
          <w:color w:val="52675E"/>
          <w:sz w:val="20"/>
        </w:rPr>
        <w:t>2.1 Project Need, Objectives and Location</w:t>
      </w:r>
    </w:p>
    <w:p>
      <w:pPr>
        <w:ind w:left="480"/>
      </w:pPr>
      <w:r>
        <w:rPr>
          <w:color w:val="52675E"/>
          <w:sz w:val="20"/>
        </w:rPr>
        <w:t>2.2 Project Components, Layout and Design</w:t>
      </w:r>
    </w:p>
    <w:p>
      <w:pPr>
        <w:ind w:left="480"/>
      </w:pPr>
      <w:r>
        <w:rPr>
          <w:color w:val="52675E"/>
          <w:sz w:val="20"/>
        </w:rPr>
        <w:t>2.3 Construction, Operation and Decommissioning</w:t>
      </w:r>
    </w:p>
    <w:p>
      <w:pPr>
        <w:ind w:left="480"/>
      </w:pPr>
      <w:r>
        <w:rPr>
          <w:color w:val="52675E"/>
          <w:sz w:val="20"/>
        </w:rPr>
        <w:t>2.4 Inputs, Outputs, Emissions, Waste and Resources</w:t>
      </w:r>
    </w:p>
    <w:p>
      <w:pPr>
        <w:ind w:left="480"/>
      </w:pPr>
      <w:r>
        <w:rPr>
          <w:color w:val="52675E"/>
          <w:sz w:val="20"/>
        </w:rPr>
        <w:t>2.5 Programme, Workforce and Associated Facilities</w:t>
      </w:r>
    </w:p>
    <w:p>
      <w:r>
        <w:rPr>
          <w:b/>
          <w:color w:val="123F2E"/>
          <w:sz w:val="22"/>
        </w:rPr>
        <w:t>3. POLICY, LEGAL AND REGULATORY FRAMEWORK</w:t>
      </w:r>
    </w:p>
    <w:p>
      <w:pPr>
        <w:ind w:left="480"/>
      </w:pPr>
      <w:r>
        <w:rPr>
          <w:color w:val="52675E"/>
          <w:sz w:val="20"/>
        </w:rPr>
        <w:t>3.1 Applicable National and Local Requirements</w:t>
      </w:r>
    </w:p>
    <w:p>
      <w:pPr>
        <w:ind w:left="480"/>
      </w:pPr>
      <w:r>
        <w:rPr>
          <w:color w:val="52675E"/>
          <w:sz w:val="20"/>
        </w:rPr>
        <w:t>3.2 International Standards and Project Commitments</w:t>
      </w:r>
    </w:p>
    <w:p>
      <w:pPr>
        <w:ind w:left="480"/>
      </w:pPr>
      <w:r>
        <w:rPr>
          <w:color w:val="52675E"/>
          <w:sz w:val="20"/>
        </w:rPr>
        <w:t>3.3 Permits, Approvals and Compliance Obligations</w:t>
      </w:r>
    </w:p>
    <w:p>
      <w:r>
        <w:rPr>
          <w:b/>
          <w:color w:val="123F2E"/>
          <w:sz w:val="22"/>
        </w:rPr>
        <w:t>4. ALTERNATIVES ASSESSMENT</w:t>
      </w:r>
    </w:p>
    <w:p>
      <w:pPr>
        <w:ind w:left="480"/>
      </w:pPr>
      <w:r>
        <w:rPr>
          <w:color w:val="52675E"/>
          <w:sz w:val="20"/>
        </w:rPr>
        <w:t>4.1 No-Project Alternative</w:t>
      </w:r>
    </w:p>
    <w:p>
      <w:pPr>
        <w:ind w:left="480"/>
      </w:pPr>
      <w:r>
        <w:rPr>
          <w:color w:val="52675E"/>
          <w:sz w:val="20"/>
        </w:rPr>
        <w:t>4.2 Site, Design, Technology and Process Alternatives</w:t>
      </w:r>
    </w:p>
    <w:p>
      <w:pPr>
        <w:ind w:left="480"/>
      </w:pPr>
      <w:r>
        <w:rPr>
          <w:color w:val="52675E"/>
          <w:sz w:val="20"/>
        </w:rPr>
        <w:t>4.3 Comparison and Selection of the Preferred Alternative</w:t>
      </w:r>
    </w:p>
    <w:p>
      <w:r>
        <w:rPr>
          <w:b/>
          <w:color w:val="123F2E"/>
          <w:sz w:val="22"/>
        </w:rPr>
        <w:t>5. ENVIRONMENTAL AND SOCIAL BASELINE</w:t>
      </w:r>
    </w:p>
    <w:p>
      <w:pPr>
        <w:ind w:left="480"/>
      </w:pPr>
      <w:r>
        <w:rPr>
          <w:color w:val="52675E"/>
          <w:sz w:val="20"/>
        </w:rPr>
        <w:t>5.1 Study Area, Methods, Sources and Limitations</w:t>
      </w:r>
    </w:p>
    <w:p>
      <w:pPr>
        <w:ind w:left="480"/>
      </w:pPr>
      <w:r>
        <w:rPr>
          <w:color w:val="52675E"/>
          <w:sz w:val="20"/>
        </w:rPr>
        <w:t>5.2 Physical Environment</w:t>
      </w:r>
    </w:p>
    <w:p>
      <w:pPr>
        <w:ind w:left="480"/>
      </w:pPr>
      <w:r>
        <w:rPr>
          <w:color w:val="52675E"/>
          <w:sz w:val="20"/>
        </w:rPr>
        <w:t>5.3 Biodiversity and Ecosystem Services</w:t>
      </w:r>
    </w:p>
    <w:p>
      <w:pPr>
        <w:ind w:left="480"/>
      </w:pPr>
      <w:r>
        <w:rPr>
          <w:color w:val="52675E"/>
          <w:sz w:val="20"/>
        </w:rPr>
        <w:t>5.4 Social, Health, Cultural Heritage and Land Use</w:t>
      </w:r>
    </w:p>
    <w:p>
      <w:pPr>
        <w:ind w:left="480"/>
      </w:pPr>
      <w:r>
        <w:rPr>
          <w:color w:val="52675E"/>
          <w:sz w:val="20"/>
        </w:rPr>
        <w:t>5.5 Sensitive Receptors and Future Baseline</w:t>
      </w:r>
    </w:p>
    <w:p>
      <w:r>
        <w:rPr>
          <w:b/>
          <w:color w:val="123F2E"/>
          <w:sz w:val="22"/>
        </w:rPr>
        <w:t>6. IMPACT ASSESSMENT</w:t>
      </w:r>
    </w:p>
    <w:p>
      <w:pPr>
        <w:ind w:left="480"/>
      </w:pPr>
      <w:r>
        <w:rPr>
          <w:color w:val="52675E"/>
          <w:sz w:val="20"/>
        </w:rPr>
        <w:t>6.1 Scoping and Assessment Methodology</w:t>
      </w:r>
    </w:p>
    <w:p>
      <w:pPr>
        <w:ind w:left="480"/>
      </w:pPr>
      <w:r>
        <w:rPr>
          <w:color w:val="52675E"/>
          <w:sz w:val="20"/>
        </w:rPr>
        <w:t>6.2 Construction Impacts</w:t>
      </w:r>
    </w:p>
    <w:p>
      <w:pPr>
        <w:ind w:left="480"/>
      </w:pPr>
      <w:r>
        <w:rPr>
          <w:color w:val="52675E"/>
          <w:sz w:val="20"/>
        </w:rPr>
        <w:t>6.3 Operational Impacts</w:t>
      </w:r>
    </w:p>
    <w:p>
      <w:pPr>
        <w:ind w:left="480"/>
      </w:pPr>
      <w:r>
        <w:rPr>
          <w:color w:val="52675E"/>
          <w:sz w:val="20"/>
        </w:rPr>
        <w:t>6.4 Decommissioning, Accidents and Unplanned Events</w:t>
      </w:r>
    </w:p>
    <w:p>
      <w:pPr>
        <w:ind w:left="480"/>
      </w:pPr>
      <w:r>
        <w:rPr>
          <w:color w:val="52675E"/>
          <w:sz w:val="20"/>
        </w:rPr>
        <w:t>6.5 Impact Significance and Residual Effects</w:t>
      </w:r>
    </w:p>
    <w:p>
      <w:r>
        <w:rPr>
          <w:b/>
          <w:color w:val="123F2E"/>
          <w:sz w:val="22"/>
        </w:rPr>
        <w:t>7. MITIGATION AND ENVIRONMENTAL MANAGEMENT</w:t>
      </w:r>
    </w:p>
    <w:p>
      <w:pPr>
        <w:ind w:left="480"/>
      </w:pPr>
      <w:r>
        <w:rPr>
          <w:color w:val="52675E"/>
          <w:sz w:val="20"/>
        </w:rPr>
        <w:t>7.1 Mitigation Hierarchy and Commitments</w:t>
      </w:r>
    </w:p>
    <w:p>
      <w:pPr>
        <w:ind w:left="480"/>
      </w:pPr>
      <w:r>
        <w:rPr>
          <w:color w:val="52675E"/>
          <w:sz w:val="20"/>
        </w:rPr>
        <w:t>7.2 Environmental and Social Management Plan</w:t>
      </w:r>
    </w:p>
    <w:p>
      <w:pPr>
        <w:ind w:left="480"/>
      </w:pPr>
      <w:r>
        <w:rPr>
          <w:color w:val="52675E"/>
          <w:sz w:val="20"/>
        </w:rPr>
        <w:t>7.3 Responsibilities, Resources and Corrective Action</w:t>
      </w:r>
    </w:p>
    <w:p>
      <w:r>
        <w:rPr>
          <w:b/>
          <w:color w:val="123F2E"/>
          <w:sz w:val="22"/>
        </w:rPr>
        <w:t>8. MONITORING PROGRAMME</w:t>
      </w:r>
    </w:p>
    <w:p>
      <w:pPr>
        <w:ind w:left="480"/>
      </w:pPr>
      <w:r>
        <w:rPr>
          <w:color w:val="52675E"/>
          <w:sz w:val="20"/>
        </w:rPr>
        <w:t>8.1 Monitoring Indicators, Methods and Locations</w:t>
      </w:r>
    </w:p>
    <w:p>
      <w:pPr>
        <w:ind w:left="480"/>
      </w:pPr>
      <w:r>
        <w:rPr>
          <w:color w:val="52675E"/>
          <w:sz w:val="20"/>
        </w:rPr>
        <w:t>8.2 Thresholds, Frequency, Reporting and Response</w:t>
      </w:r>
    </w:p>
    <w:p>
      <w:r>
        <w:rPr>
          <w:b/>
          <w:color w:val="123F2E"/>
          <w:sz w:val="22"/>
        </w:rPr>
        <w:t>9. CUMULATIVE IMPACTS</w:t>
      </w:r>
    </w:p>
    <w:p>
      <w:pPr>
        <w:ind w:left="480"/>
      </w:pPr>
      <w:r>
        <w:rPr>
          <w:color w:val="52675E"/>
          <w:sz w:val="20"/>
        </w:rPr>
        <w:t>9.1 Other Developments and Valued Receptors</w:t>
      </w:r>
    </w:p>
    <w:p>
      <w:pPr>
        <w:ind w:left="480"/>
      </w:pPr>
      <w:r>
        <w:rPr>
          <w:color w:val="52675E"/>
          <w:sz w:val="20"/>
        </w:rPr>
        <w:t>9.2 Cumulative Effects, Mitigation and Residual Risk</w:t>
      </w:r>
    </w:p>
    <w:p>
      <w:r>
        <w:rPr>
          <w:b/>
          <w:color w:val="123F2E"/>
          <w:sz w:val="22"/>
        </w:rPr>
        <w:t>10. CLIMATE, CARBON AND RESILIENCE</w:t>
      </w:r>
    </w:p>
    <w:p>
      <w:pPr>
        <w:ind w:left="480"/>
      </w:pPr>
      <w:r>
        <w:rPr>
          <w:color w:val="52675E"/>
          <w:sz w:val="20"/>
        </w:rPr>
        <w:t>10.1 Greenhouse Gas Emissions and Mitigation</w:t>
      </w:r>
    </w:p>
    <w:p>
      <w:pPr>
        <w:ind w:left="480"/>
      </w:pPr>
      <w:r>
        <w:rPr>
          <w:color w:val="52675E"/>
          <w:sz w:val="20"/>
        </w:rPr>
        <w:t>10.2 Climate Risk, Adaptation and Resilience</w:t>
      </w:r>
    </w:p>
    <w:p>
      <w:r>
        <w:rPr>
          <w:b/>
          <w:color w:val="123F2E"/>
          <w:sz w:val="22"/>
        </w:rPr>
        <w:t>11. STAKEHOLDER AND CONSULTATION RECORD</w:t>
      </w:r>
    </w:p>
    <w:p>
      <w:pPr>
        <w:ind w:left="480"/>
      </w:pPr>
      <w:r>
        <w:rPr>
          <w:color w:val="52675E"/>
          <w:sz w:val="20"/>
        </w:rPr>
        <w:t>11.1 Stakeholder Identification and Engagement</w:t>
      </w:r>
    </w:p>
    <w:p>
      <w:pPr>
        <w:ind w:left="480"/>
      </w:pPr>
      <w:r>
        <w:rPr>
          <w:color w:val="52675E"/>
          <w:sz w:val="20"/>
        </w:rPr>
        <w:t>11.2 Issues Raised, Responses and Commitments</w:t>
      </w:r>
    </w:p>
    <w:p>
      <w:pPr>
        <w:ind w:left="480"/>
      </w:pPr>
      <w:r>
        <w:rPr>
          <w:color w:val="52675E"/>
          <w:sz w:val="20"/>
        </w:rPr>
        <w:t>11.3 Grievance and Ongoing Engagement</w:t>
      </w:r>
    </w:p>
    <w:p>
      <w:r>
        <w:rPr>
          <w:b/>
          <w:color w:val="123F2E"/>
          <w:sz w:val="22"/>
        </w:rPr>
        <w:t>12. COMPLIANCE MATRIX</w:t>
      </w:r>
    </w:p>
    <w:p>
      <w:pPr>
        <w:ind w:left="480"/>
      </w:pPr>
      <w:r>
        <w:rPr>
          <w:color w:val="52675E"/>
          <w:sz w:val="20"/>
        </w:rPr>
        <w:t>12.1 Requirement-to-Evidence Compliance Matrix</w:t>
      </w:r>
    </w:p>
    <w:p>
      <w:pPr>
        <w:ind w:left="480"/>
      </w:pPr>
      <w:r>
        <w:rPr>
          <w:color w:val="52675E"/>
          <w:sz w:val="20"/>
        </w:rPr>
        <w:t>12.2 Outstanding Obligations and Actions</w:t>
      </w:r>
    </w:p>
    <w:p>
      <w:r>
        <w:rPr>
          <w:b/>
          <w:color w:val="123F2E"/>
          <w:sz w:val="22"/>
        </w:rPr>
        <w:t>13. ENVIRONMENTAL INTELLIGENCE AND QA</w:t>
      </w:r>
    </w:p>
    <w:p>
      <w:pPr>
        <w:ind w:left="480"/>
      </w:pPr>
      <w:r>
        <w:rPr>
          <w:color w:val="52675E"/>
          <w:sz w:val="20"/>
        </w:rPr>
        <w:t>13.1 Evidence Traceability and Quality Assurance</w:t>
      </w:r>
    </w:p>
    <w:p>
      <w:pPr>
        <w:ind w:left="480"/>
      </w:pPr>
      <w:r>
        <w:rPr>
          <w:color w:val="52675E"/>
          <w:sz w:val="20"/>
        </w:rPr>
        <w:t>13.2 Data Gaps, Uncertainty and AI Transparency</w:t>
      </w:r>
    </w:p>
    <w:p>
      <w:pPr>
        <w:ind w:left="480"/>
      </w:pPr>
      <w:r>
        <w:rPr>
          <w:color w:val="52675E"/>
          <w:sz w:val="20"/>
        </w:rPr>
        <w:t>13.3 Professional Review and Reviewer Decisions</w:t>
      </w:r>
    </w:p>
    <w:p>
      <w:r>
        <w:rPr>
          <w:b/>
          <w:color w:val="123F2E"/>
          <w:sz w:val="22"/>
        </w:rPr>
        <w:t>14. CONCLUSIONS AND DECISION READINESS</w:t>
      </w:r>
    </w:p>
    <w:p>
      <w:pPr>
        <w:ind w:left="480"/>
      </w:pPr>
      <w:r>
        <w:rPr>
          <w:color w:val="52675E"/>
          <w:sz w:val="20"/>
        </w:rPr>
        <w:t>14.1 Overall Conclusions and Residual Effects</w:t>
      </w:r>
    </w:p>
    <w:p>
      <w:pPr>
        <w:ind w:left="480"/>
      </w:pPr>
      <w:r>
        <w:rPr>
          <w:color w:val="52675E"/>
          <w:sz w:val="20"/>
        </w:rPr>
        <w:t>14.2 Conditions, Priority Actions and Decision Readiness</w:t>
      </w:r>
    </w:p>
    <w:p>
      <w:r>
        <w:rPr>
          <w:b/>
          <w:color w:val="123F2E"/>
          <w:sz w:val="22"/>
        </w:rPr>
        <w:t>A. APPENDICES AND EVIDENCE REGISTER</w:t>
      </w:r>
    </w:p>
    <w:p>
      <w:pPr>
        <w:ind w:left="480"/>
      </w:pPr>
      <w:r>
        <w:rPr>
          <w:color w:val="52675E"/>
          <w:sz w:val="20"/>
        </w:rPr>
        <w:t>A.1 Appendix Schedule</w:t>
      </w:r>
    </w:p>
    <w:p>
      <w:pPr>
        <w:ind w:left="480"/>
      </w:pPr>
      <w:r>
        <w:rPr>
          <w:color w:val="52675E"/>
          <w:sz w:val="20"/>
        </w:rPr>
        <w:t>A.2 Evidence Register</w:t>
      </w:r>
    </w:p>
    <w:p>
      <w:pPr>
        <w:ind w:left="480"/>
      </w:pPr>
      <w:r>
        <w:rPr>
          <w:color w:val="52675E"/>
          <w:sz w:val="20"/>
        </w:rPr>
        <w:t>A.3 Figures, Tables and Supporting Records</w:t>
      </w:r>
    </w:p>
    <w:p>
      <w:r>
        <w:br w:type="page"/>
      </w:r>
    </w:p>
    <w:p>
      <w:pPr>
        <w:pStyle w:val="Heading1"/>
      </w:pPr>
      <w:r>
        <w:t>Executive Summary</w:t>
      </w:r>
    </w:p>
    <w:p>
      <w:r>
        <w:rPr>
          <w:b w:val="0"/>
          <w:i w:val="0"/>
        </w:rPr>
        <w:t>TIERS Limited is a proposed development project located at MIOSUMER BOULAVARD, Pakistan, within the ABC sector. The project encompasses construction, commissioning, operation, and eventual closure phases. Its primary objective is to establish the facility while managing and mitigating environmental and social impacts related to land use, resource consumption, emissions, waste generation, traffic, and community well-being throughout its lifecycle.</w:t>
      </w:r>
    </w:p>
    <w:p>
      <w:pPr>
        <w:pStyle w:val="Heading5"/>
      </w:pPr>
      <w:r>
        <w:rPr>
          <w:b w:val="0"/>
          <w:i w:val="0"/>
        </w:rPr>
        <w:t>Assessment Scope and Approach</w:t>
      </w:r>
    </w:p>
    <w:p>
      <w:r>
        <w:rPr>
          <w:b w:val="0"/>
          <w:i w:val="0"/>
        </w:rPr>
        <w:t>The Environmental Impact Assessment (EIA) covers the full project lifecycle phases—construction, operation, and decommissioning—addressing potential interactions with environmental and social receptors. The scope includes evaluation of alternatives (no-project, site, design, technology, and process), baseline environmental and social conditions, impact identification and significance, mitigation measures, monitoring programs, cumulative effects, climate considerations, stakeholder engagement, and compliance obligations. The assessment methodology involves linking project activities to receptors, applying significance criteria considering magnitude, sensitivity, extent, duration, frequency, reversibility, likelihood, and confidence, and distinguishing pre-mitigation and residual effects.</w:t>
      </w:r>
    </w:p>
    <w:p>
      <w:pPr>
        <w:pStyle w:val="Heading5"/>
      </w:pPr>
      <w:r>
        <w:rPr>
          <w:b w:val="0"/>
          <w:i w:val="0"/>
        </w:rPr>
        <w:t>Baseline Conditions</w:t>
      </w:r>
    </w:p>
    <w:p>
      <w:r>
        <w:rPr>
          <w:b w:val="0"/>
          <w:i w:val="0"/>
        </w:rPr>
        <w:t>The baseline study area includes the project footprint at MIOSUMER BOULAVARD, associated facilities, transport routes, and the wider zone potentially affected by indirect or cumulative impacts. Baseline data describe current land use, soils, water, air quality, noise levels, biodiversity, cultural heritage, material assets, and socio-economic conditions, including seasonal variations and identification of vulnerable receptors. Data sources comprise field surveys, laboratory analyses, specialist studies, and stakeholder consultations. However, specific quantitative baseline data, coordinates, and thresholds require confirmation against approved design data and authority requirements. Identified data gaps and survey limitations are acknowledged but not detailed in the provided material.</w:t>
      </w:r>
    </w:p>
    <w:p>
      <w:pPr>
        <w:pStyle w:val="Heading5"/>
      </w:pPr>
      <w:r>
        <w:rPr>
          <w:b w:val="0"/>
          <w:i w:val="0"/>
        </w:rPr>
        <w:t>Key Environmental and Social Effects</w:t>
      </w:r>
    </w:p>
    <w:p>
      <w:pPr>
        <w:pStyle w:val="ListBullet"/>
      </w:pPr>
      <w:r>
        <w:rPr>
          <w:b w:val="0"/>
          <w:i w:val="0"/>
        </w:rPr>
        <w:t>Land disturbance and habitat alteration during construction</w:t>
      </w:r>
    </w:p>
    <w:p>
      <w:pPr>
        <w:pStyle w:val="ListBullet"/>
      </w:pPr>
      <w:r>
        <w:rPr>
          <w:b w:val="0"/>
          <w:i w:val="0"/>
        </w:rPr>
        <w:t>Increased construction traffic impacting local transport and communities</w:t>
      </w:r>
    </w:p>
    <w:p>
      <w:pPr>
        <w:pStyle w:val="ListBullet"/>
      </w:pPr>
      <w:r>
        <w:rPr>
          <w:b w:val="0"/>
          <w:i w:val="0"/>
        </w:rPr>
        <w:t>Resource consumption including water and energy use</w:t>
      </w:r>
    </w:p>
    <w:p>
      <w:pPr>
        <w:pStyle w:val="ListBullet"/>
      </w:pPr>
      <w:r>
        <w:rPr>
          <w:b w:val="0"/>
          <w:i w:val="0"/>
        </w:rPr>
        <w:t>Emissions to air and potential noise pollution during construction and operation</w:t>
      </w:r>
    </w:p>
    <w:p>
      <w:pPr>
        <w:pStyle w:val="ListBullet"/>
      </w:pPr>
      <w:r>
        <w:rPr>
          <w:b w:val="0"/>
          <w:i w:val="0"/>
        </w:rPr>
        <w:t>Waste generation and management challenges</w:t>
      </w:r>
    </w:p>
    <w:p>
      <w:pPr>
        <w:pStyle w:val="ListBullet"/>
      </w:pPr>
      <w:r>
        <w:rPr>
          <w:b w:val="0"/>
          <w:i w:val="0"/>
        </w:rPr>
        <w:t>Impacts on biodiversity and ecosystem services</w:t>
      </w:r>
    </w:p>
    <w:p>
      <w:pPr>
        <w:pStyle w:val="ListBullet"/>
      </w:pPr>
      <w:r>
        <w:rPr>
          <w:b w:val="0"/>
          <w:i w:val="0"/>
        </w:rPr>
        <w:t>Effects on social, health, cultural heritage, and land use aspects in the vicinity</w:t>
      </w:r>
    </w:p>
    <w:p>
      <w:pPr>
        <w:pStyle w:val="ListBullet"/>
      </w:pPr>
      <w:r>
        <w:rPr>
          <w:b w:val="0"/>
          <w:i w:val="0"/>
        </w:rPr>
        <w:t>Potential risks from accidents and unplanned events during all project phases</w:t>
      </w:r>
    </w:p>
    <w:p>
      <w:pPr>
        <w:pStyle w:val="ListBullet"/>
      </w:pPr>
      <w:r>
        <w:rPr>
          <w:b w:val="0"/>
          <w:i w:val="0"/>
        </w:rPr>
        <w:t>Cumulative impacts in combination with other developments</w:t>
      </w:r>
    </w:p>
    <w:p>
      <w:pPr>
        <w:pStyle w:val="ListBullet"/>
      </w:pPr>
      <w:r>
        <w:rPr>
          <w:b w:val="0"/>
          <w:i w:val="0"/>
        </w:rPr>
        <w:t>Greenhouse gas emissions and climate resilience considerations</w:t>
      </w:r>
    </w:p>
    <w:p>
      <w:pPr>
        <w:pStyle w:val="Heading5"/>
      </w:pPr>
      <w:r>
        <w:rPr>
          <w:b w:val="0"/>
          <w:i w:val="0"/>
        </w:rPr>
        <w:t>Alternatives</w:t>
      </w:r>
    </w:p>
    <w:p>
      <w:r>
        <w:rPr>
          <w:b w:val="0"/>
          <w:i w:val="0"/>
        </w:rPr>
        <w:t>The assessment includes a comparative analysis of the no-project scenario and feasible alternatives concerning site location, layout, technology, construction methods, and operational processes. Each alternative is evaluated consistently against criteria such as land take, proximity to sensitive receptors, resource efficiency, pollution potential, climate resilience, community effects, constructability, and cost. The preferred alternative is selected based on its superior ability to avoid or minimize adverse impacts prior to applying mitigation measures. Documentation of rejected options, decision-makers, consultation inputs, and dates of decisions are noted as necessary but specific details are not provided in the source material.</w:t>
      </w:r>
    </w:p>
    <w:p>
      <w:pPr>
        <w:pStyle w:val="Heading5"/>
      </w:pPr>
      <w:r>
        <w:rPr>
          <w:b w:val="0"/>
          <w:i w:val="0"/>
        </w:rPr>
        <w:t>Mitigation and Monitoring</w:t>
      </w:r>
    </w:p>
    <w:p>
      <w:r>
        <w:rPr>
          <w:b w:val="0"/>
          <w:i w:val="0"/>
        </w:rPr>
        <w:t>Mitigation follows a hierarchical approach prioritizing avoidance, minimization, restoration, and where necessary, compensation for significant residual effects. Commitments are to be specific, measurable, and linked to responsible owners, implementation phases, completion dates, performance indicators, and corrective action triggers. Environmental and Social Management Plans (ESMPs) are to be developed, incorporating pollution control, habitat protection, community engagement, and grievance mechanisms. Monitoring programs are designed with defined indicators, methods, locations, thresholds, frequency, reporting protocols, and response actions to ensure compliance and adaptive management. However, detailed mitigation measures, monitoring parameters, and responsible parties are not explicitly detailed in the provided text and require confirmation against final project design and regulatory requirements.</w:t>
      </w:r>
    </w:p>
    <w:p>
      <w:pPr>
        <w:pStyle w:val="Heading5"/>
      </w:pPr>
      <w:r>
        <w:rPr>
          <w:b w:val="0"/>
          <w:i w:val="0"/>
        </w:rPr>
        <w:t>Conclusion and Limitations</w:t>
      </w:r>
    </w:p>
    <w:p>
      <w:r>
        <w:rPr>
          <w:b w:val="0"/>
          <w:i w:val="0"/>
        </w:rPr>
        <w:t>The EIA concludes that TIERS Limited has identifiable potential environmental and social impacts primarily related to land disturbance, emissions, resource use, waste, biodiversity, and community effects. With the implementation of the preferred design, management measures, and mitigation hierarchy, residual impacts are expected to be controlled and minimized. The assessment emphasizes the necessity for final verification of design details, quantities, coordinates, and thresholds against approved data and applicable authority requirements. Limitations include unresolved regulatory applicability due to references to non-local standards (e.g., Kuwait KEPA and KOC), absence of specific quantitative data, and acknowledged data gaps and uncertainties. The report underscores the importance of completing technical, legal, and editorial quality assurance prior to final issuance and decision-making, ensuring traceability of evidence and transparency in addressing uncertainties.</w:t>
      </w:r>
    </w:p>
    <w:p>
      <w:pPr>
        <w:pStyle w:val="Heading1"/>
      </w:pPr>
      <w:r>
        <w:t>Report Dashboard</w:t>
      </w:r>
    </w:p>
    <w:p>
      <w:pPr>
        <w:spacing w:after="240"/>
      </w:pPr>
      <w:r>
        <w:t>The following charts summarize the size and structure of the compiled assessment. They describe report composition and do not represent environmental performance ratings.</w:t>
      </w:r>
    </w:p>
    <w:p>
      <w:pPr>
        <w:jc w:val="center"/>
      </w:pPr>
      <w:r>
        <w:drawing>
          <wp:inline xmlns:a="http://schemas.openxmlformats.org/drawingml/2006/main" xmlns:pic="http://schemas.openxmlformats.org/drawingml/2006/picture">
            <wp:extent cx="5577840" cy="5391912"/>
            <wp:docPr id="1" name="Picture 1" descr="Horizontal bar chart showing word count for each EIA section."/>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77840" cy="5391912"/>
                    </a:xfrm>
                    <a:prstGeom prst="rect"/>
                  </pic:spPr>
                </pic:pic>
              </a:graphicData>
            </a:graphic>
          </wp:inline>
        </w:drawing>
      </w:r>
    </w:p>
    <w:p>
      <w:pPr>
        <w:jc w:val="center"/>
      </w:pPr>
      <w:r>
        <w:rPr>
          <w:i/>
          <w:color w:val="697A73"/>
          <w:sz w:val="16"/>
        </w:rPr>
        <w:t>Horizontal bar chart showing word count for each EIA section.</w:t>
      </w:r>
    </w:p>
    <w:p>
      <w:pPr>
        <w:jc w:val="center"/>
      </w:pPr>
      <w:r>
        <w:drawing>
          <wp:inline xmlns:a="http://schemas.openxmlformats.org/drawingml/2006/main" xmlns:pic="http://schemas.openxmlformats.org/drawingml/2006/picture">
            <wp:extent cx="5577840" cy="2677363"/>
            <wp:docPr id="2" name="Picture 2" descr="Donut chart showing the number of subsections in each EIA section."/>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77840" cy="2677363"/>
                    </a:xfrm>
                    <a:prstGeom prst="rect"/>
                  </pic:spPr>
                </pic:pic>
              </a:graphicData>
            </a:graphic>
          </wp:inline>
        </w:drawing>
      </w:r>
    </w:p>
    <w:p>
      <w:pPr>
        <w:jc w:val="center"/>
      </w:pPr>
      <w:r>
        <w:rPr>
          <w:i/>
          <w:color w:val="697A73"/>
          <w:sz w:val="16"/>
        </w:rPr>
        <w:t>Donut chart showing the number of subsections in each EIA section.</w:t>
      </w:r>
    </w:p>
    <w:p>
      <w:pPr>
        <w:pStyle w:val="Heading1"/>
      </w:pPr>
      <w:r>
        <w:t>Environmental Intelligence Snapshot</w:t>
      </w:r>
    </w:p>
    <w:p>
      <w:r>
        <w:t>No completed RQEIA quality review is linked to this report. Quality, compliance and decision-readiness conclusions must therefore be established through a completed review before controlled issue.</w:t>
      </w:r>
    </w:p>
    <w:tbl>
      <w:tblPr>
        <w:tblStyle w:val="TableGrid"/>
        <w:tblW w:type="auto" w:w="0"/>
        <w:tblLook w:firstColumn="1" w:firstRow="1" w:lastColumn="0" w:lastRow="0" w:noHBand="0" w:noVBand="1" w:val="04A0"/>
      </w:tblPr>
      <w:tblGrid>
        <w:gridCol w:w="2191"/>
        <w:gridCol w:w="2191"/>
        <w:gridCol w:w="2191"/>
        <w:gridCol w:w="2191"/>
      </w:tblGrid>
      <w:tr>
        <w:tc>
          <w:tcPr>
            <w:tcW w:type="dxa" w:w="2191"/>
          </w:tcPr>
          <w:p>
            <w:r>
              <w:rPr>
                <w:b/>
              </w:rPr>
              <w:t>RQEIA quality</w:t>
            </w:r>
          </w:p>
        </w:tc>
        <w:tc>
          <w:tcPr>
            <w:tcW w:type="dxa" w:w="2191"/>
          </w:tcPr>
          <w:p>
            <w:r>
              <w:rPr>
                <w:b/>
              </w:rPr>
              <w:t>Evidence coverage</w:t>
            </w:r>
          </w:p>
        </w:tc>
        <w:tc>
          <w:tcPr>
            <w:tcW w:type="dxa" w:w="2191"/>
          </w:tcPr>
          <w:p>
            <w:r>
              <w:rPr>
                <w:b/>
              </w:rPr>
              <w:t>Open gaps</w:t>
            </w:r>
          </w:p>
        </w:tc>
        <w:tc>
          <w:tcPr>
            <w:tcW w:type="dxa" w:w="2191"/>
          </w:tcPr>
          <w:p>
            <w:r>
              <w:rPr>
                <w:b/>
              </w:rPr>
              <w:t>Reviewer status</w:t>
            </w:r>
          </w:p>
        </w:tc>
      </w:tr>
      <w:tr>
        <w:tc>
          <w:tcPr>
            <w:tcW w:type="dxa" w:w="2191"/>
          </w:tcPr>
          <w:p>
            <w:r>
              <w:t>Not assessed</w:t>
            </w:r>
          </w:p>
        </w:tc>
        <w:tc>
          <w:tcPr>
            <w:tcW w:type="dxa" w:w="2191"/>
          </w:tcPr>
          <w:p>
            <w:r>
              <w:t>Not assessed</w:t>
            </w:r>
          </w:p>
        </w:tc>
        <w:tc>
          <w:tcPr>
            <w:tcW w:type="dxa" w:w="2191"/>
          </w:tcPr>
          <w:p>
            <w:r>
              <w:t>Review required</w:t>
            </w:r>
          </w:p>
        </w:tc>
        <w:tc>
          <w:tcPr>
            <w:tcW w:type="dxa" w:w="2191"/>
          </w:tcPr>
          <w:p>
            <w:r>
              <w:t>Pending</w:t>
            </w:r>
          </w:p>
        </w:tc>
      </w:tr>
    </w:tbl>
    <w:p>
      <w:r>
        <w:br w:type="page"/>
      </w:r>
    </w:p>
    <w:p>
      <w:pPr>
        <w:pStyle w:val="Heading1"/>
      </w:pPr>
      <w:r>
        <w:t>1. EXECUTIVE SUMMARY</w:t>
      </w:r>
    </w:p>
    <w:p>
      <w:pPr>
        <w:pStyle w:val="Heading2"/>
      </w:pPr>
      <w:r>
        <w:t>1.1 Non-Technical Executive Summary</w:t>
      </w:r>
    </w:p>
    <w:p>
      <w:pPr>
        <w:pStyle w:val="Heading5"/>
      </w:pPr>
      <w:r>
        <w:rPr>
          <w:b w:val="0"/>
          <w:i w:val="0"/>
        </w:rPr>
        <w:t>Assessment response</w:t>
      </w:r>
    </w:p>
    <w:p>
      <w:r>
        <w:rPr>
          <w:b/>
          <w:i w:val="0"/>
        </w:rPr>
        <w:t>Demonstration scope:</w:t>
      </w:r>
      <w:r>
        <w:rPr>
          <w:b w:val="0"/>
          <w:i w:val="0"/>
        </w:rPr>
        <w:t xml:space="preserve"> This illustrative response addresses whether non-technical executive summary. It shows the expected structure and level of explanation; project-specific values require verification.</w:t>
      </w:r>
    </w:p>
    <w:p>
      <w:r>
        <w:rPr>
          <w:b w:val="0"/>
          <w:i w:val="0"/>
        </w:rPr>
        <w:t>TIERS Limited is presented as a proposed development at Pakistan / MIOSUMER BOULAVARD. This demonstration assessment describes the construction, commissioning, operation and eventual closure activities that could interact with environmental and social receptors. The project need is to deliver the proposed facility while controlling land, resource, emissions, waste, traffic and community impacts through its full life cycle.</w:t>
      </w:r>
    </w:p>
    <w:p>
      <w:pPr>
        <w:pStyle w:val="Heading5"/>
      </w:pPr>
      <w:r>
        <w:rPr>
          <w:b w:val="0"/>
          <w:i w:val="0"/>
        </w:rPr>
        <w:t>Information to include in the controlled issue</w:t>
      </w:r>
    </w:p>
    <w:p>
      <w:pPr>
        <w:pStyle w:val="ListBullet"/>
      </w:pPr>
      <w:r>
        <w:rPr>
          <w:b w:val="0"/>
          <w:i w:val="0"/>
        </w:rPr>
        <w:t>Confirm the final design basis, footprint, schedule and workforce profile.</w:t>
      </w:r>
    </w:p>
    <w:p>
      <w:pPr>
        <w:pStyle w:val="ListBullet"/>
      </w:pPr>
      <w:r>
        <w:rPr>
          <w:b w:val="0"/>
          <w:i w:val="0"/>
        </w:rPr>
        <w:t>Insert approved layout drawings, access routes, utilities and temporary work areas.</w:t>
      </w:r>
    </w:p>
    <w:p>
      <w:pPr>
        <w:pStyle w:val="ListBullet"/>
      </w:pPr>
      <w:r>
        <w:rPr>
          <w:b w:val="0"/>
          <w:i w:val="0"/>
        </w:rPr>
        <w:t>Quantify material, water, energy, waste, emission and traffic estimates by phase.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 — EXECUTIVE SUMMARY.</w:t>
      </w:r>
    </w:p>
    <w:p/>
    <w:p>
      <w:pPr>
        <w:pStyle w:val="Heading2"/>
      </w:pPr>
      <w:r>
        <w:t>1.2 Key Impacts, Mitigation and Decision Readiness</w:t>
      </w:r>
    </w:p>
    <w:p>
      <w:pPr>
        <w:pStyle w:val="Heading5"/>
      </w:pPr>
      <w:r>
        <w:rPr>
          <w:b w:val="0"/>
          <w:i w:val="0"/>
        </w:rPr>
        <w:t>Assessment response</w:t>
      </w:r>
    </w:p>
    <w:p>
      <w:r>
        <w:rPr>
          <w:b/>
          <w:i w:val="0"/>
        </w:rPr>
        <w:t>Demonstration scope:</w:t>
      </w:r>
      <w:r>
        <w:rPr>
          <w:b w:val="0"/>
          <w:i w:val="0"/>
        </w:rPr>
        <w:t xml:space="preserve"> This illustrative response addresses whether key impacts, mitigation and decision readiness. It shows the expected structure and level of explanation; project-specific values require verification.</w:t>
      </w:r>
    </w:p>
    <w:p>
      <w:r>
        <w:rPr>
          <w:b w:val="0"/>
          <w:i w:val="0"/>
        </w:rPr>
        <w:t>TIERS Limited is presented as a proposed development at Pakistan / MIOSUMER BOULAVARD. This demonstration assessment describes the construction, commissioning, operation and eventual closure activities that could interact with environmental and social receptors. The project need is to deliver the proposed facility while controlling land, resource, emissions, waste, traffic and community impacts through its full life cycle.</w:t>
      </w:r>
    </w:p>
    <w:p>
      <w:pPr>
        <w:pStyle w:val="Heading5"/>
      </w:pPr>
      <w:r>
        <w:rPr>
          <w:b w:val="0"/>
          <w:i w:val="0"/>
        </w:rPr>
        <w:t>Information to include in the controlled issue</w:t>
      </w:r>
    </w:p>
    <w:p>
      <w:pPr>
        <w:pStyle w:val="ListBullet"/>
      </w:pPr>
      <w:r>
        <w:rPr>
          <w:b w:val="0"/>
          <w:i w:val="0"/>
        </w:rPr>
        <w:t>Confirm the final design basis, footprint, schedule and workforce profile.</w:t>
      </w:r>
    </w:p>
    <w:p>
      <w:pPr>
        <w:pStyle w:val="ListBullet"/>
      </w:pPr>
      <w:r>
        <w:rPr>
          <w:b w:val="0"/>
          <w:i w:val="0"/>
        </w:rPr>
        <w:t>Insert approved layout drawings, access routes, utilities and temporary work areas.</w:t>
      </w:r>
    </w:p>
    <w:p>
      <w:pPr>
        <w:pStyle w:val="ListBullet"/>
      </w:pPr>
      <w:r>
        <w:rPr>
          <w:b w:val="0"/>
          <w:i w:val="0"/>
        </w:rPr>
        <w:t>Quantify material, water, energy, waste, emission and traffic estimates by phase.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 — EXECUTIVE SUMMARY.</w:t>
      </w:r>
    </w:p>
    <w:p/>
    <w:p>
      <w:pPr>
        <w:pStyle w:val="Heading1"/>
      </w:pPr>
      <w:r>
        <w:t>2. PROJECT DESCRIPTION</w:t>
      </w:r>
    </w:p>
    <w:p>
      <w:pPr>
        <w:pStyle w:val="Heading2"/>
      </w:pPr>
      <w:r>
        <w:t>2.1 Project Need, Objectives and Location</w:t>
      </w:r>
    </w:p>
    <w:p>
      <w:pPr>
        <w:pStyle w:val="Heading5"/>
      </w:pPr>
      <w:r>
        <w:rPr>
          <w:b w:val="0"/>
          <w:i w:val="0"/>
        </w:rPr>
        <w:t>Assessment response</w:t>
      </w:r>
    </w:p>
    <w:p>
      <w:r>
        <w:rPr>
          <w:b/>
          <w:i w:val="0"/>
        </w:rPr>
        <w:t>Demonstration scope:</w:t>
      </w:r>
      <w:r>
        <w:rPr>
          <w:b w:val="0"/>
          <w:i w:val="0"/>
        </w:rPr>
        <w:t xml:space="preserve"> This illustrative response addresses whether project need, objectives and location.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2"/>
      </w:pPr>
      <w:r>
        <w:t>2.2 Project Components, Layout and Design</w:t>
      </w:r>
    </w:p>
    <w:p>
      <w:pPr>
        <w:pStyle w:val="Heading5"/>
      </w:pPr>
      <w:r>
        <w:rPr>
          <w:b w:val="0"/>
          <w:i w:val="0"/>
        </w:rPr>
        <w:t>Assessment response</w:t>
      </w:r>
    </w:p>
    <w:p>
      <w:r>
        <w:rPr>
          <w:b/>
          <w:i w:val="0"/>
        </w:rPr>
        <w:t>Demonstration scope:</w:t>
      </w:r>
      <w:r>
        <w:rPr>
          <w:b w:val="0"/>
          <w:i w:val="0"/>
        </w:rPr>
        <w:t xml:space="preserve"> This illustrative response addresses whether project components, layout and design.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2"/>
      </w:pPr>
      <w:r>
        <w:t>2.3 Construction, Operation and Decommissioning</w:t>
      </w:r>
    </w:p>
    <w:p>
      <w:pPr>
        <w:pStyle w:val="Heading5"/>
      </w:pPr>
      <w:r>
        <w:rPr>
          <w:b w:val="0"/>
          <w:i w:val="0"/>
        </w:rPr>
        <w:t>Assessment response</w:t>
      </w:r>
    </w:p>
    <w:p>
      <w:r>
        <w:rPr>
          <w:b/>
          <w:i w:val="0"/>
        </w:rPr>
        <w:t>Demonstration scope:</w:t>
      </w:r>
      <w:r>
        <w:rPr>
          <w:b w:val="0"/>
          <w:i w:val="0"/>
        </w:rPr>
        <w:t xml:space="preserve"> This illustrative response addresses whether construction, operation and decommissioning.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2"/>
      </w:pPr>
      <w:r>
        <w:t>2.4 Inputs, Outputs, Emissions, Waste and Resources</w:t>
      </w:r>
    </w:p>
    <w:p>
      <w:pPr>
        <w:pStyle w:val="Heading5"/>
      </w:pPr>
      <w:r>
        <w:rPr>
          <w:b w:val="0"/>
          <w:i w:val="0"/>
        </w:rPr>
        <w:t>Assessment response</w:t>
      </w:r>
    </w:p>
    <w:p>
      <w:r>
        <w:rPr>
          <w:b/>
          <w:i w:val="0"/>
        </w:rPr>
        <w:t>Demonstration scope:</w:t>
      </w:r>
      <w:r>
        <w:rPr>
          <w:b w:val="0"/>
          <w:i w:val="0"/>
        </w:rPr>
        <w:t xml:space="preserve"> This illustrative response addresses whether inputs, outputs, emissions, waste and resources.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Waste inventories, emissions calculations, safety studies, monitoring plans and licensed contractor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2"/>
      </w:pPr>
      <w:r>
        <w:t>2.5 Programme, Workforce and Associated Facilities</w:t>
      </w:r>
    </w:p>
    <w:p>
      <w:pPr>
        <w:pStyle w:val="Heading5"/>
      </w:pPr>
      <w:r>
        <w:rPr>
          <w:b w:val="0"/>
          <w:i w:val="0"/>
        </w:rPr>
        <w:t>Assessment response</w:t>
      </w:r>
    </w:p>
    <w:p>
      <w:r>
        <w:rPr>
          <w:b/>
          <w:i w:val="0"/>
        </w:rPr>
        <w:t>Demonstration scope:</w:t>
      </w:r>
      <w:r>
        <w:rPr>
          <w:b w:val="0"/>
          <w:i w:val="0"/>
        </w:rPr>
        <w:t xml:space="preserve"> This illustrative response addresses whether programme, workforce and associated facilities.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1"/>
      </w:pPr>
      <w:r>
        <w:t>3. POLICY, LEGAL AND REGULATORY FRAMEWORK</w:t>
      </w:r>
    </w:p>
    <w:p>
      <w:pPr>
        <w:pStyle w:val="Heading2"/>
      </w:pPr>
      <w:r>
        <w:t>3.1 Applicable National and Local Requirements</w:t>
      </w:r>
    </w:p>
    <w:p>
      <w:pPr>
        <w:pStyle w:val="Heading5"/>
      </w:pPr>
      <w:r>
        <w:rPr>
          <w:b w:val="0"/>
          <w:i w:val="0"/>
        </w:rPr>
        <w:t>Assessment response</w:t>
      </w:r>
    </w:p>
    <w:p>
      <w:r>
        <w:rPr>
          <w:b/>
          <w:i w:val="0"/>
        </w:rPr>
        <w:t>Demonstration scope:</w:t>
      </w:r>
      <w:r>
        <w:rPr>
          <w:b w:val="0"/>
          <w:i w:val="0"/>
        </w:rPr>
        <w:t xml:space="preserve"> This illustrative response addresses whether applicable national and local requirements. It shows the expected structure and level of explanation; project-specific values require verification.</w:t>
      </w:r>
    </w:p>
    <w:p>
      <w:r>
        <w:rPr>
          <w:b w:val="0"/>
          <w:i w:val="0"/>
        </w:rPr>
        <w:t>The baseline study area must cover the project footprint at Pakistan / MIOSUMER BOULAVARD, associated facilities, transport routes and the wider zone in which indirect or cumulative effects could occur. Baseline information should describe current land use, soils, water, air, noise, biodiversity, cultural heritage, material assets and socio-economic conditions, including seasonal variation and vulnerable receptors.</w:t>
      </w:r>
    </w:p>
    <w:p>
      <w:pPr>
        <w:pStyle w:val="Heading5"/>
      </w:pPr>
      <w:r>
        <w:rPr>
          <w:b w:val="0"/>
          <w:i w:val="0"/>
        </w:rPr>
        <w:t>Information to include in the controlled issue</w:t>
      </w:r>
    </w:p>
    <w:p>
      <w:pPr>
        <w:pStyle w:val="ListBullet"/>
      </w:pPr>
      <w:r>
        <w:rPr>
          <w:b w:val="0"/>
          <w:i w:val="0"/>
        </w:rPr>
        <w:t>Add dated survey results, coordinates, maps and laboratory accreditation details.</w:t>
      </w:r>
    </w:p>
    <w:p>
      <w:pPr>
        <w:pStyle w:val="ListBullet"/>
      </w:pPr>
      <w:r>
        <w:rPr>
          <w:b w:val="0"/>
          <w:i w:val="0"/>
        </w:rPr>
        <w:t>Identify sensitive receptors and explain the spatial and temporal study boundaries.</w:t>
      </w:r>
    </w:p>
    <w:p>
      <w:pPr>
        <w:pStyle w:val="ListBullet"/>
      </w:pPr>
      <w:r>
        <w:rPr>
          <w:b w:val="0"/>
          <w:i w:val="0"/>
        </w:rPr>
        <w:t>List data gaps, survey limitations and the assumptions used to address them.</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3 — POLICY, LEGAL AND REGULATORY FRAMEWORK.</w:t>
      </w:r>
    </w:p>
    <w:p/>
    <w:p>
      <w:pPr>
        <w:pStyle w:val="Heading2"/>
      </w:pPr>
      <w:r>
        <w:t>3.2 International Standards and Project Commitments</w:t>
      </w:r>
    </w:p>
    <w:p>
      <w:pPr>
        <w:pStyle w:val="Heading5"/>
      </w:pPr>
      <w:r>
        <w:rPr>
          <w:b w:val="0"/>
          <w:i w:val="0"/>
        </w:rPr>
        <w:t>Assessment response</w:t>
      </w:r>
    </w:p>
    <w:p>
      <w:r>
        <w:rPr>
          <w:b/>
          <w:i w:val="0"/>
        </w:rPr>
        <w:t>Demonstration scope:</w:t>
      </w:r>
      <w:r>
        <w:rPr>
          <w:b w:val="0"/>
          <w:i w:val="0"/>
        </w:rPr>
        <w:t xml:space="preserve"> This illustrative response addresses whether international standards and project commitments. It shows the expected structure and level of explanation; project-specific values require verification.</w:t>
      </w:r>
    </w:p>
    <w:p>
      <w:r>
        <w:rPr>
          <w:b w:val="0"/>
          <w:i w:val="0"/>
        </w:rPr>
        <w:t>The baseline study area must cover the project footprint at Pakistan / MIOSUMER BOULAVARD, associated facilities, transport routes and the wider zone in which indirect or cumulative effects could occur. Baseline information should describe current land use, soils, water, air, noise, biodiversity, cultural heritage, material assets and socio-economic conditions, including seasonal variation and vulnerable receptors.</w:t>
      </w:r>
    </w:p>
    <w:p>
      <w:pPr>
        <w:pStyle w:val="Heading5"/>
      </w:pPr>
      <w:r>
        <w:rPr>
          <w:b w:val="0"/>
          <w:i w:val="0"/>
        </w:rPr>
        <w:t>Information to include in the controlled issue</w:t>
      </w:r>
    </w:p>
    <w:p>
      <w:pPr>
        <w:pStyle w:val="ListBullet"/>
      </w:pPr>
      <w:r>
        <w:rPr>
          <w:b w:val="0"/>
          <w:i w:val="0"/>
        </w:rPr>
        <w:t>Add dated survey results, coordinates, maps and laboratory accreditation details.</w:t>
      </w:r>
    </w:p>
    <w:p>
      <w:pPr>
        <w:pStyle w:val="ListBullet"/>
      </w:pPr>
      <w:r>
        <w:rPr>
          <w:b w:val="0"/>
          <w:i w:val="0"/>
        </w:rPr>
        <w:t>Identify sensitive receptors and explain the spatial and temporal study boundaries.</w:t>
      </w:r>
    </w:p>
    <w:p>
      <w:pPr>
        <w:pStyle w:val="ListBullet"/>
      </w:pPr>
      <w:r>
        <w:rPr>
          <w:b w:val="0"/>
          <w:i w:val="0"/>
        </w:rPr>
        <w:t>List data gaps, survey limitations and the assumptions used to address them.</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3 — POLICY, LEGAL AND REGULATORY FRAMEWORK.</w:t>
      </w:r>
    </w:p>
    <w:p/>
    <w:p>
      <w:pPr>
        <w:pStyle w:val="Heading2"/>
      </w:pPr>
      <w:r>
        <w:t>3.3 Permits, Approvals and Compliance Obligations</w:t>
      </w:r>
    </w:p>
    <w:p>
      <w:pPr>
        <w:pStyle w:val="Heading5"/>
      </w:pPr>
      <w:r>
        <w:rPr>
          <w:b w:val="0"/>
          <w:i w:val="0"/>
        </w:rPr>
        <w:t>Assessment response</w:t>
      </w:r>
    </w:p>
    <w:p>
      <w:r>
        <w:rPr>
          <w:b/>
          <w:i w:val="0"/>
        </w:rPr>
        <w:t>Demonstration scope:</w:t>
      </w:r>
      <w:r>
        <w:rPr>
          <w:b w:val="0"/>
          <w:i w:val="0"/>
        </w:rPr>
        <w:t xml:space="preserve"> This illustrative response addresses whether permits, approvals and compliance obligations. It shows the expected structure and level of explanation; project-specific values require verification.</w:t>
      </w:r>
    </w:p>
    <w:p>
      <w:r>
        <w:rPr>
          <w:b w:val="0"/>
          <w:i w:val="0"/>
        </w:rPr>
        <w:t>The baseline study area must cover the project footprint at Pakistan / MIOSUMER BOULAVARD, associated facilities, transport routes and the wider zone in which indirect or cumulative effects could occur. Baseline information should describe current land use, soils, water, air, noise, biodiversity, cultural heritage, material assets and socio-economic conditions, including seasonal variation and vulnerable receptors.</w:t>
      </w:r>
    </w:p>
    <w:p>
      <w:pPr>
        <w:pStyle w:val="Heading5"/>
      </w:pPr>
      <w:r>
        <w:rPr>
          <w:b w:val="0"/>
          <w:i w:val="0"/>
        </w:rPr>
        <w:t>Information to include in the controlled issue</w:t>
      </w:r>
    </w:p>
    <w:p>
      <w:pPr>
        <w:pStyle w:val="ListBullet"/>
      </w:pPr>
      <w:r>
        <w:rPr>
          <w:b w:val="0"/>
          <w:i w:val="0"/>
        </w:rPr>
        <w:t>Add dated survey results, coordinates, maps and laboratory accreditation details.</w:t>
      </w:r>
    </w:p>
    <w:p>
      <w:pPr>
        <w:pStyle w:val="ListBullet"/>
      </w:pPr>
      <w:r>
        <w:rPr>
          <w:b w:val="0"/>
          <w:i w:val="0"/>
        </w:rPr>
        <w:t>Identify sensitive receptors and explain the spatial and temporal study boundaries.</w:t>
      </w:r>
    </w:p>
    <w:p>
      <w:pPr>
        <w:pStyle w:val="ListBullet"/>
      </w:pPr>
      <w:r>
        <w:rPr>
          <w:b w:val="0"/>
          <w:i w:val="0"/>
        </w:rPr>
        <w:t>List data gaps, survey limitations and the assumptions used to address them.</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3 — POLICY, LEGAL AND REGULATORY FRAMEWORK.</w:t>
      </w:r>
    </w:p>
    <w:p/>
    <w:p>
      <w:pPr>
        <w:pStyle w:val="Heading1"/>
      </w:pPr>
      <w:r>
        <w:t>4. ALTERNATIVES ASSESSMENT</w:t>
      </w:r>
    </w:p>
    <w:p>
      <w:pPr>
        <w:pStyle w:val="Heading2"/>
      </w:pPr>
      <w:r>
        <w:t>4.1 No-Project Alternative</w:t>
      </w:r>
    </w:p>
    <w:p>
      <w:pPr>
        <w:pStyle w:val="Heading5"/>
      </w:pPr>
      <w:r>
        <w:rPr>
          <w:b w:val="0"/>
          <w:i w:val="0"/>
        </w:rPr>
        <w:t>Assessment response</w:t>
      </w:r>
    </w:p>
    <w:p>
      <w:r>
        <w:rPr>
          <w:b/>
          <w:i w:val="0"/>
        </w:rPr>
        <w:t>Demonstration scope:</w:t>
      </w:r>
      <w:r>
        <w:rPr>
          <w:b w:val="0"/>
          <w:i w:val="0"/>
        </w:rPr>
        <w:t xml:space="preserve"> This illustrative response addresses whether no-project alternative. It shows the expected structure and level of explanation; project-specific values require verification.</w:t>
      </w:r>
    </w:p>
    <w:p>
      <w:r>
        <w:rPr>
          <w:b w:val="0"/>
          <w:i w:val="0"/>
        </w:rPr>
        <w:t>Potential effects are assessed by linking each project activity to an environmental or social receptor. Significance should consider magnitude, receptor sensitivity, geographic extent, duration, frequency, reversibility, likelihood and confidence. The assessment should cover direct, indirect, induced, cumulative, temporary, permanent, positive and adverse effects, with credible worst-case assumptions where uncertainty remains.</w:t>
      </w:r>
    </w:p>
    <w:p>
      <w:pPr>
        <w:pStyle w:val="Heading5"/>
      </w:pPr>
      <w:r>
        <w:rPr>
          <w:b w:val="0"/>
          <w:i w:val="0"/>
        </w:rPr>
        <w:t>Information to include in the controlled issue</w:t>
      </w:r>
    </w:p>
    <w:p>
      <w:pPr>
        <w:pStyle w:val="ListBullet"/>
      </w:pPr>
      <w:r>
        <w:rPr>
          <w:b w:val="0"/>
          <w:i w:val="0"/>
        </w:rPr>
        <w:t>Add an impact register connecting activities, pathways, receptors and significance ratings.</w:t>
      </w:r>
    </w:p>
    <w:p>
      <w:pPr>
        <w:pStyle w:val="ListBullet"/>
      </w:pPr>
      <w:r>
        <w:rPr>
          <w:b w:val="0"/>
          <w:i w:val="0"/>
        </w:rPr>
        <w:t>State the prediction method, assessment criteria and evidence for each material effect.</w:t>
      </w:r>
    </w:p>
    <w:p>
      <w:pPr>
        <w:pStyle w:val="ListBullet"/>
      </w:pPr>
      <w:r>
        <w:rPr>
          <w:b w:val="0"/>
          <w:i w:val="0"/>
        </w:rPr>
        <w:t>Separate pre-mitigation effects from residual effects after committed measures.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4 — ALTERNATIVES ASSESSMENT.</w:t>
      </w:r>
    </w:p>
    <w:p/>
    <w:p>
      <w:pPr>
        <w:pStyle w:val="Heading2"/>
      </w:pPr>
      <w:r>
        <w:t>4.2 Site, Design, Technology and Process Alternatives</w:t>
      </w:r>
    </w:p>
    <w:p>
      <w:pPr>
        <w:pStyle w:val="Heading5"/>
      </w:pPr>
      <w:r>
        <w:rPr>
          <w:b w:val="0"/>
          <w:i w:val="0"/>
        </w:rPr>
        <w:t>Assessment response</w:t>
      </w:r>
    </w:p>
    <w:p>
      <w:r>
        <w:rPr>
          <w:b/>
          <w:i w:val="0"/>
        </w:rPr>
        <w:t>Demonstration scope:</w:t>
      </w:r>
      <w:r>
        <w:rPr>
          <w:b w:val="0"/>
          <w:i w:val="0"/>
        </w:rPr>
        <w:t xml:space="preserve"> This illustrative response addresses whether site, design, technology and process alternatives. It shows the expected structure and level of explanation; project-specific values require verification.</w:t>
      </w:r>
    </w:p>
    <w:p>
      <w:r>
        <w:rPr>
          <w:b w:val="0"/>
          <w:i w:val="0"/>
        </w:rPr>
        <w:t>Potential effects are assessed by linking each project activity to an environmental or social receptor. Significance should consider magnitude, receptor sensitivity, geographic extent, duration, frequency, reversibility, likelihood and confidence. The assessment should cover direct, indirect, induced, cumulative, temporary, permanent, positive and adverse effects, with credible worst-case assumptions where uncertainty remains.</w:t>
      </w:r>
    </w:p>
    <w:p>
      <w:pPr>
        <w:pStyle w:val="Heading5"/>
      </w:pPr>
      <w:r>
        <w:rPr>
          <w:b w:val="0"/>
          <w:i w:val="0"/>
        </w:rPr>
        <w:t>Information to include in the controlled issue</w:t>
      </w:r>
    </w:p>
    <w:p>
      <w:pPr>
        <w:pStyle w:val="ListBullet"/>
      </w:pPr>
      <w:r>
        <w:rPr>
          <w:b w:val="0"/>
          <w:i w:val="0"/>
        </w:rPr>
        <w:t>Add an impact register connecting activities, pathways, receptors and significance ratings.</w:t>
      </w:r>
    </w:p>
    <w:p>
      <w:pPr>
        <w:pStyle w:val="ListBullet"/>
      </w:pPr>
      <w:r>
        <w:rPr>
          <w:b w:val="0"/>
          <w:i w:val="0"/>
        </w:rPr>
        <w:t>State the prediction method, assessment criteria and evidence for each material effect.</w:t>
      </w:r>
    </w:p>
    <w:p>
      <w:pPr>
        <w:pStyle w:val="ListBullet"/>
      </w:pPr>
      <w:r>
        <w:rPr>
          <w:b w:val="0"/>
          <w:i w:val="0"/>
        </w:rPr>
        <w:t>Separate pre-mitigation effects from residual effects after committed measures.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4 — ALTERNATIVES ASSESSMENT.</w:t>
      </w:r>
    </w:p>
    <w:p/>
    <w:p>
      <w:pPr>
        <w:pStyle w:val="Heading2"/>
      </w:pPr>
      <w:r>
        <w:t>4.3 Comparison and Selection of the Preferred Alternative</w:t>
      </w:r>
    </w:p>
    <w:p>
      <w:pPr>
        <w:pStyle w:val="Heading5"/>
      </w:pPr>
      <w:r>
        <w:rPr>
          <w:b w:val="0"/>
          <w:i w:val="0"/>
        </w:rPr>
        <w:t>Assessment response</w:t>
      </w:r>
    </w:p>
    <w:p>
      <w:r>
        <w:rPr>
          <w:b/>
          <w:i w:val="0"/>
        </w:rPr>
        <w:t>Demonstration scope:</w:t>
      </w:r>
      <w:r>
        <w:rPr>
          <w:b w:val="0"/>
          <w:i w:val="0"/>
        </w:rPr>
        <w:t xml:space="preserve"> This illustrative response addresses whether comparison and selection of the preferred alternative. It shows the expected structure and level of explanation; project-specific values require verification.</w:t>
      </w:r>
    </w:p>
    <w:p>
      <w:r>
        <w:rPr>
          <w:b w:val="0"/>
          <w:i w:val="0"/>
        </w:rPr>
        <w:t>Potential effects are assessed by linking each project activity to an environmental or social receptor. Significance should consider magnitude, receptor sensitivity, geographic extent, duration, frequency, reversibility, likelihood and confidence. The assessment should cover direct, indirect, induced, cumulative, temporary, permanent, positive and adverse effects, with credible worst-case assumptions where uncertainty remains.</w:t>
      </w:r>
    </w:p>
    <w:p>
      <w:pPr>
        <w:pStyle w:val="Heading5"/>
      </w:pPr>
      <w:r>
        <w:rPr>
          <w:b w:val="0"/>
          <w:i w:val="0"/>
        </w:rPr>
        <w:t>Information to include in the controlled issue</w:t>
      </w:r>
    </w:p>
    <w:p>
      <w:pPr>
        <w:pStyle w:val="ListBullet"/>
      </w:pPr>
      <w:r>
        <w:rPr>
          <w:b w:val="0"/>
          <w:i w:val="0"/>
        </w:rPr>
        <w:t>Add an impact register connecting activities, pathways, receptors and significance ratings.</w:t>
      </w:r>
    </w:p>
    <w:p>
      <w:pPr>
        <w:pStyle w:val="ListBullet"/>
      </w:pPr>
      <w:r>
        <w:rPr>
          <w:b w:val="0"/>
          <w:i w:val="0"/>
        </w:rPr>
        <w:t>State the prediction method, assessment criteria and evidence for each material effect.</w:t>
      </w:r>
    </w:p>
    <w:p>
      <w:pPr>
        <w:pStyle w:val="ListBullet"/>
      </w:pPr>
      <w:r>
        <w:rPr>
          <w:b w:val="0"/>
          <w:i w:val="0"/>
        </w:rPr>
        <w:t>Separate pre-mitigation effects from residual effects after committed measures.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4 — ALTERNATIVES ASSESSMENT.</w:t>
      </w:r>
    </w:p>
    <w:p/>
    <w:p>
      <w:pPr>
        <w:pStyle w:val="Heading1"/>
      </w:pPr>
      <w:r>
        <w:t>5. ENVIRONMENTAL AND SOCIAL BASELINE</w:t>
      </w:r>
    </w:p>
    <w:p>
      <w:pPr>
        <w:pStyle w:val="Heading2"/>
      </w:pPr>
      <w:r>
        <w:t>5.1 Study Area, Methods, Sources and Limitations</w:t>
      </w:r>
    </w:p>
    <w:p>
      <w:pPr>
        <w:pStyle w:val="Heading5"/>
      </w:pPr>
      <w:r>
        <w:rPr>
          <w:b w:val="0"/>
          <w:i w:val="0"/>
        </w:rPr>
        <w:t>Assessment response</w:t>
      </w:r>
    </w:p>
    <w:p>
      <w:r>
        <w:rPr>
          <w:b/>
          <w:i w:val="0"/>
        </w:rPr>
        <w:t>Demonstration scope:</w:t>
      </w:r>
      <w:r>
        <w:rPr>
          <w:b w:val="0"/>
          <w:i w:val="0"/>
        </w:rPr>
        <w:t xml:space="preserve"> This illustrative response addresses whether study area, methods, sources and limitations.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2"/>
      </w:pPr>
      <w:r>
        <w:t>5.2 Physical Environment</w:t>
      </w:r>
    </w:p>
    <w:p>
      <w:pPr>
        <w:pStyle w:val="Heading5"/>
      </w:pPr>
      <w:r>
        <w:rPr>
          <w:b w:val="0"/>
          <w:i w:val="0"/>
        </w:rPr>
        <w:t>Assessment response</w:t>
      </w:r>
    </w:p>
    <w:p>
      <w:r>
        <w:rPr>
          <w:b/>
          <w:i w:val="0"/>
        </w:rPr>
        <w:t>Demonstration scope:</w:t>
      </w:r>
      <w:r>
        <w:rPr>
          <w:b w:val="0"/>
          <w:i w:val="0"/>
        </w:rPr>
        <w:t xml:space="preserve"> This illustrative response addresses whether physical environment.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2"/>
      </w:pPr>
      <w:r>
        <w:t>5.3 Biodiversity and Ecosystem Services</w:t>
      </w:r>
    </w:p>
    <w:p>
      <w:pPr>
        <w:pStyle w:val="Heading5"/>
      </w:pPr>
      <w:r>
        <w:rPr>
          <w:b w:val="0"/>
          <w:i w:val="0"/>
        </w:rPr>
        <w:t>Assessment response</w:t>
      </w:r>
    </w:p>
    <w:p>
      <w:r>
        <w:rPr>
          <w:b/>
          <w:i w:val="0"/>
        </w:rPr>
        <w:t>Demonstration scope:</w:t>
      </w:r>
      <w:r>
        <w:rPr>
          <w:b w:val="0"/>
          <w:i w:val="0"/>
        </w:rPr>
        <w:t xml:space="preserve"> This illustrative response addresses whether biodiversity and ecosystem services.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Seasonally appropriate ecological surveys, habitat maps, species records and conservation-status sources.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2"/>
      </w:pPr>
      <w:r>
        <w:t>5.4 Social, Health, Cultural Heritage and Land Use</w:t>
      </w:r>
    </w:p>
    <w:p>
      <w:pPr>
        <w:pStyle w:val="Heading5"/>
      </w:pPr>
      <w:r>
        <w:rPr>
          <w:b w:val="0"/>
          <w:i w:val="0"/>
        </w:rPr>
        <w:t>Assessment response</w:t>
      </w:r>
    </w:p>
    <w:p>
      <w:r>
        <w:rPr>
          <w:b/>
          <w:i w:val="0"/>
        </w:rPr>
        <w:t>Demonstration scope:</w:t>
      </w:r>
      <w:r>
        <w:rPr>
          <w:b w:val="0"/>
          <w:i w:val="0"/>
        </w:rPr>
        <w:t xml:space="preserve"> This illustrative response addresses whether social, health, cultural heritage and land use.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Census and livelihood data, stakeholder records, workforce estimates and grievance-management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2"/>
      </w:pPr>
      <w:r>
        <w:t>5.5 Sensitive Receptors and Future Baseline</w:t>
      </w:r>
    </w:p>
    <w:p>
      <w:pPr>
        <w:pStyle w:val="Heading5"/>
      </w:pPr>
      <w:r>
        <w:rPr>
          <w:b w:val="0"/>
          <w:i w:val="0"/>
        </w:rPr>
        <w:t>Assessment response</w:t>
      </w:r>
    </w:p>
    <w:p>
      <w:r>
        <w:rPr>
          <w:b/>
          <w:i w:val="0"/>
        </w:rPr>
        <w:t>Demonstration scope:</w:t>
      </w:r>
      <w:r>
        <w:rPr>
          <w:b w:val="0"/>
          <w:i w:val="0"/>
        </w:rPr>
        <w:t xml:space="preserve"> This illustrative response addresses whether sensitive receptors and future baseline.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1"/>
      </w:pPr>
      <w:r>
        <w:t>6. IMPACT ASSESSMENT</w:t>
      </w:r>
    </w:p>
    <w:p>
      <w:pPr>
        <w:pStyle w:val="Heading2"/>
      </w:pPr>
      <w:r>
        <w:t>6.1 Scoping and Assessment Methodology</w:t>
      </w:r>
    </w:p>
    <w:p>
      <w:pPr>
        <w:pStyle w:val="Heading5"/>
      </w:pPr>
      <w:r>
        <w:rPr>
          <w:b w:val="0"/>
          <w:i w:val="0"/>
        </w:rPr>
        <w:t>Assessment response</w:t>
      </w:r>
    </w:p>
    <w:p>
      <w:r>
        <w:rPr>
          <w:b/>
          <w:i w:val="0"/>
        </w:rPr>
        <w:t>Demonstration scope:</w:t>
      </w:r>
      <w:r>
        <w:rPr>
          <w:b w:val="0"/>
          <w:i w:val="0"/>
        </w:rPr>
        <w:t xml:space="preserve"> This illustrative response addresses whether scoping and assessment methodology. It shows the expected structure and level of explanation; project-specific values require verification.</w:t>
      </w:r>
    </w:p>
    <w:p>
      <w:r>
        <w:rPr>
          <w:b w:val="0"/>
          <w:i w:val="0"/>
        </w:rPr>
        <w:t>In plain language, TIERS Limited is a proposed development at Pakistan / MIOSUMER BOULAVARD.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2"/>
      </w:pPr>
      <w:r>
        <w:t>6.2 Construction Impacts</w:t>
      </w:r>
    </w:p>
    <w:p>
      <w:pPr>
        <w:pStyle w:val="Heading5"/>
      </w:pPr>
      <w:r>
        <w:rPr>
          <w:b w:val="0"/>
          <w:i w:val="0"/>
        </w:rPr>
        <w:t>Assessment response</w:t>
      </w:r>
    </w:p>
    <w:p>
      <w:r>
        <w:rPr>
          <w:b/>
          <w:i w:val="0"/>
        </w:rPr>
        <w:t>Demonstration scope:</w:t>
      </w:r>
      <w:r>
        <w:rPr>
          <w:b w:val="0"/>
          <w:i w:val="0"/>
        </w:rPr>
        <w:t xml:space="preserve"> This illustrative response addresses whether construction impacts. It shows the expected structure and level of explanation; project-specific values require verification.</w:t>
      </w:r>
    </w:p>
    <w:p>
      <w:r>
        <w:rPr>
          <w:b w:val="0"/>
          <w:i w:val="0"/>
        </w:rPr>
        <w:t>In plain language, TIERS Limited is a proposed development at Pakistan / MIOSUMER BOULAVARD.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2"/>
      </w:pPr>
      <w:r>
        <w:t>6.3 Operational Impacts</w:t>
      </w:r>
    </w:p>
    <w:p>
      <w:pPr>
        <w:pStyle w:val="Heading5"/>
      </w:pPr>
      <w:r>
        <w:rPr>
          <w:b w:val="0"/>
          <w:i w:val="0"/>
        </w:rPr>
        <w:t>Assessment response</w:t>
      </w:r>
    </w:p>
    <w:p>
      <w:r>
        <w:rPr>
          <w:b/>
          <w:i w:val="0"/>
        </w:rPr>
        <w:t>Demonstration scope:</w:t>
      </w:r>
      <w:r>
        <w:rPr>
          <w:b w:val="0"/>
          <w:i w:val="0"/>
        </w:rPr>
        <w:t xml:space="preserve"> This illustrative response addresses whether operational impacts. It shows the expected structure and level of explanation; project-specific values require verification.</w:t>
      </w:r>
    </w:p>
    <w:p>
      <w:r>
        <w:rPr>
          <w:b w:val="0"/>
          <w:i w:val="0"/>
        </w:rPr>
        <w:t>In plain language, TIERS Limited is a proposed development at Pakistan / MIOSUMER BOULAVARD.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2"/>
      </w:pPr>
      <w:r>
        <w:t>6.4 Decommissioning, Accidents and Unplanned Events</w:t>
      </w:r>
    </w:p>
    <w:p>
      <w:pPr>
        <w:pStyle w:val="Heading5"/>
      </w:pPr>
      <w:r>
        <w:rPr>
          <w:b w:val="0"/>
          <w:i w:val="0"/>
        </w:rPr>
        <w:t>Assessment response</w:t>
      </w:r>
    </w:p>
    <w:p>
      <w:r>
        <w:rPr>
          <w:b/>
          <w:i w:val="0"/>
        </w:rPr>
        <w:t>Demonstration scope:</w:t>
      </w:r>
      <w:r>
        <w:rPr>
          <w:b w:val="0"/>
          <w:i w:val="0"/>
        </w:rPr>
        <w:t xml:space="preserve"> This illustrative response addresses whether decommissioning, accidents and unplanned events. It shows the expected structure and level of explanation; project-specific values require verification.</w:t>
      </w:r>
    </w:p>
    <w:p>
      <w:r>
        <w:rPr>
          <w:b w:val="0"/>
          <w:i w:val="0"/>
        </w:rPr>
        <w:t>In plain language, TIERS Limited is a proposed development at Pakistan / MIOSUMER BOULAVARD.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Waste inventories, emissions calculations, safety studies, monitoring plans and licensed contractor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2"/>
      </w:pPr>
      <w:r>
        <w:t>6.5 Impact Significance and Residual Effects</w:t>
      </w:r>
    </w:p>
    <w:p>
      <w:pPr>
        <w:pStyle w:val="Heading5"/>
      </w:pPr>
      <w:r>
        <w:rPr>
          <w:b w:val="0"/>
          <w:i w:val="0"/>
        </w:rPr>
        <w:t>Assessment response</w:t>
      </w:r>
    </w:p>
    <w:p>
      <w:r>
        <w:rPr>
          <w:b/>
          <w:i w:val="0"/>
        </w:rPr>
        <w:t>Demonstration scope:</w:t>
      </w:r>
      <w:r>
        <w:rPr>
          <w:b w:val="0"/>
          <w:i w:val="0"/>
        </w:rPr>
        <w:t xml:space="preserve"> This illustrative response addresses whether impact significance and residual effects. It shows the expected structure and level of explanation; project-specific values require verification.</w:t>
      </w:r>
    </w:p>
    <w:p>
      <w:r>
        <w:rPr>
          <w:b w:val="0"/>
          <w:i w:val="0"/>
        </w:rPr>
        <w:t>In plain language, TIERS Limited is a proposed development at Pakistan / MIOSUMER BOULAVARD.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1"/>
      </w:pPr>
      <w:r>
        <w:t>7. MITIGATION AND ENVIRONMENTAL MANAGEMENT</w:t>
      </w:r>
    </w:p>
    <w:p>
      <w:pPr>
        <w:pStyle w:val="Heading2"/>
      </w:pPr>
      <w:r>
        <w:t>7.1 Mitigation Hierarchy and Commitments</w:t>
      </w:r>
    </w:p>
    <w:p>
      <w:pPr>
        <w:pStyle w:val="Heading5"/>
      </w:pPr>
      <w:r>
        <w:rPr>
          <w:b w:val="0"/>
          <w:i w:val="0"/>
        </w:rPr>
        <w:t>Assessment response</w:t>
      </w:r>
    </w:p>
    <w:p>
      <w:r>
        <w:rPr>
          <w:b/>
          <w:i w:val="0"/>
        </w:rPr>
        <w:t>Demonstration scope:</w:t>
      </w:r>
      <w:r>
        <w:rPr>
          <w:b w:val="0"/>
          <w:i w:val="0"/>
        </w:rPr>
        <w:t xml:space="preserve"> This illustrative response addresses whether mitigation hierarchy and commitments. It shows the expected structure and level of explanation; project-specific values require verification.</w:t>
      </w:r>
    </w:p>
    <w:p>
      <w:r>
        <w:rPr>
          <w:b w:val="0"/>
          <w:i w:val="0"/>
        </w:rPr>
        <w:t>The project record identifies Pakistan as the country. The imported checklist refers to Kuwait, KEPA and KOC requirements, which may not match the project jurisdiction. This demonstration therefore does not assert those requirements apply. Before issue, the legal register must be confirmed by a qualified local practitioner and aligned with permit conditions, applicable national law, international commitments and client standards.</w:t>
      </w:r>
    </w:p>
    <w:p>
      <w:pPr>
        <w:pStyle w:val="Heading5"/>
      </w:pPr>
      <w:r>
        <w:rPr>
          <w:b w:val="0"/>
          <w:i w:val="0"/>
        </w:rPr>
        <w:t>Information to include in the controlled issue</w:t>
      </w:r>
    </w:p>
    <w:p>
      <w:pPr>
        <w:pStyle w:val="ListBullet"/>
      </w:pPr>
      <w:r>
        <w:rPr>
          <w:b w:val="0"/>
          <w:i w:val="0"/>
        </w:rPr>
        <w:t>Confirm the competent authority and governing EIA legislation for the actual project location.</w:t>
      </w:r>
    </w:p>
    <w:p>
      <w:pPr>
        <w:pStyle w:val="ListBullet"/>
      </w:pPr>
      <w:r>
        <w:rPr>
          <w:b w:val="0"/>
          <w:i w:val="0"/>
        </w:rPr>
        <w:t>Replace inapplicable Kuwait/KOC references or document why they apply contractually.</w:t>
      </w:r>
    </w:p>
    <w:p>
      <w:pPr>
        <w:pStyle w:val="ListBullet"/>
      </w:pPr>
      <w:r>
        <w:rPr>
          <w:b w:val="0"/>
          <w:i w:val="0"/>
        </w:rPr>
        <w:t>Add a legal register with requirement, source, version, applicability, evidence and responsible owner.</w:t>
      </w:r>
    </w:p>
    <w:p>
      <w:pPr>
        <w:pStyle w:val="Heading5"/>
      </w:pPr>
      <w:r>
        <w:rPr>
          <w:b w:val="0"/>
          <w:i w:val="0"/>
        </w:rPr>
        <w:t>Evidence and limitations</w:t>
      </w:r>
    </w:p>
    <w:p>
      <w:r>
        <w:rPr>
          <w:b w:val="0"/>
          <w:i w:val="0"/>
        </w:rPr>
        <w:t>Project design drawings, field survey records, permits, specialist studies and consultation records. Regulatory applicability is unresolved and must be verified before this report is issued or relied upon.</w:t>
      </w:r>
    </w:p>
    <w:p>
      <w:r>
        <w:rPr>
          <w:b/>
          <w:i w:val="0"/>
        </w:rPr>
        <w:t>Section context:</w:t>
      </w:r>
      <w:r>
        <w:rPr>
          <w:b w:val="0"/>
          <w:i w:val="0"/>
        </w:rPr>
        <w:t xml:space="preserve"> 7 — MITIGATION AND ENVIRONMENTAL MANAGEMENT.</w:t>
      </w:r>
    </w:p>
    <w:p/>
    <w:p>
      <w:pPr>
        <w:pStyle w:val="Heading2"/>
      </w:pPr>
      <w:r>
        <w:t>7.2 Environmental and Social Management Plan</w:t>
      </w:r>
    </w:p>
    <w:p>
      <w:pPr>
        <w:pStyle w:val="Heading5"/>
      </w:pPr>
      <w:r>
        <w:rPr>
          <w:b w:val="0"/>
          <w:i w:val="0"/>
        </w:rPr>
        <w:t>Assessment response</w:t>
      </w:r>
    </w:p>
    <w:p>
      <w:r>
        <w:rPr>
          <w:b/>
          <w:i w:val="0"/>
        </w:rPr>
        <w:t>Demonstration scope:</w:t>
      </w:r>
      <w:r>
        <w:rPr>
          <w:b w:val="0"/>
          <w:i w:val="0"/>
        </w:rPr>
        <w:t xml:space="preserve"> This illustrative response addresses whether environmental and social management plan. It shows the expected structure and level of explanation; project-specific values require verification.</w:t>
      </w:r>
    </w:p>
    <w:p>
      <w:r>
        <w:rPr>
          <w:b w:val="0"/>
          <w:i w:val="0"/>
        </w:rPr>
        <w:t>The project record identifies Pakistan as the country. The imported checklist refers to Kuwait, KEPA and KOC requirements, which may not match the project jurisdiction. This demonstration therefore does not assert those requirements apply. Before issue, the legal register must be confirmed by a qualified local practitioner and aligned with permit conditions, applicable national law, international commitments and client standards.</w:t>
      </w:r>
    </w:p>
    <w:p>
      <w:pPr>
        <w:pStyle w:val="Heading5"/>
      </w:pPr>
      <w:r>
        <w:rPr>
          <w:b w:val="0"/>
          <w:i w:val="0"/>
        </w:rPr>
        <w:t>Information to include in the controlled issue</w:t>
      </w:r>
    </w:p>
    <w:p>
      <w:pPr>
        <w:pStyle w:val="ListBullet"/>
      </w:pPr>
      <w:r>
        <w:rPr>
          <w:b w:val="0"/>
          <w:i w:val="0"/>
        </w:rPr>
        <w:t>Confirm the competent authority and governing EIA legislation for the actual project location.</w:t>
      </w:r>
    </w:p>
    <w:p>
      <w:pPr>
        <w:pStyle w:val="ListBullet"/>
      </w:pPr>
      <w:r>
        <w:rPr>
          <w:b w:val="0"/>
          <w:i w:val="0"/>
        </w:rPr>
        <w:t>Replace inapplicable Kuwait/KOC references or document why they apply contractually.</w:t>
      </w:r>
    </w:p>
    <w:p>
      <w:pPr>
        <w:pStyle w:val="ListBullet"/>
      </w:pPr>
      <w:r>
        <w:rPr>
          <w:b w:val="0"/>
          <w:i w:val="0"/>
        </w:rPr>
        <w:t>Add a legal register with requirement, source, version, applicability, evidence and responsible owner.</w:t>
      </w:r>
    </w:p>
    <w:p>
      <w:pPr>
        <w:pStyle w:val="Heading5"/>
      </w:pPr>
      <w:r>
        <w:rPr>
          <w:b w:val="0"/>
          <w:i w:val="0"/>
        </w:rPr>
        <w:t>Evidence and limitations</w:t>
      </w:r>
    </w:p>
    <w:p>
      <w:r>
        <w:rPr>
          <w:b w:val="0"/>
          <w:i w:val="0"/>
        </w:rPr>
        <w:t>Census and livelihood data, stakeholder records, workforce estimates and grievance-management records. Regulatory applicability is unresolved and must be verified before this report is issued or relied upon.</w:t>
      </w:r>
    </w:p>
    <w:p>
      <w:r>
        <w:rPr>
          <w:b/>
          <w:i w:val="0"/>
        </w:rPr>
        <w:t>Section context:</w:t>
      </w:r>
      <w:r>
        <w:rPr>
          <w:b w:val="0"/>
          <w:i w:val="0"/>
        </w:rPr>
        <w:t xml:space="preserve"> 7 — MITIGATION AND ENVIRONMENTAL MANAGEMENT.</w:t>
      </w:r>
    </w:p>
    <w:p/>
    <w:p>
      <w:pPr>
        <w:pStyle w:val="Heading2"/>
      </w:pPr>
      <w:r>
        <w:t>7.3 Responsibilities, Resources and Corrective Action</w:t>
      </w:r>
    </w:p>
    <w:p>
      <w:pPr>
        <w:pStyle w:val="Heading5"/>
      </w:pPr>
      <w:r>
        <w:rPr>
          <w:b w:val="0"/>
          <w:i w:val="0"/>
        </w:rPr>
        <w:t>Assessment response</w:t>
      </w:r>
    </w:p>
    <w:p>
      <w:r>
        <w:rPr>
          <w:b/>
          <w:i w:val="0"/>
        </w:rPr>
        <w:t>Demonstration scope:</w:t>
      </w:r>
      <w:r>
        <w:rPr>
          <w:b w:val="0"/>
          <w:i w:val="0"/>
        </w:rPr>
        <w:t xml:space="preserve"> This illustrative response addresses whether responsibilities, resources and corrective action. It shows the expected structure and level of explanation; project-specific values require verification.</w:t>
      </w:r>
    </w:p>
    <w:p>
      <w:r>
        <w:rPr>
          <w:b w:val="0"/>
          <w:i w:val="0"/>
        </w:rPr>
        <w:t>The project record identifies Pakistan as the country. The imported checklist refers to Kuwait, KEPA and KOC requirements, which may not match the project jurisdiction. This demonstration therefore does not assert those requirements apply. Before issue, the legal register must be confirmed by a qualified local practitioner and aligned with permit conditions, applicable national law, international commitments and client standards.</w:t>
      </w:r>
    </w:p>
    <w:p>
      <w:pPr>
        <w:pStyle w:val="Heading5"/>
      </w:pPr>
      <w:r>
        <w:rPr>
          <w:b w:val="0"/>
          <w:i w:val="0"/>
        </w:rPr>
        <w:t>Information to include in the controlled issue</w:t>
      </w:r>
    </w:p>
    <w:p>
      <w:pPr>
        <w:pStyle w:val="ListBullet"/>
      </w:pPr>
      <w:r>
        <w:rPr>
          <w:b w:val="0"/>
          <w:i w:val="0"/>
        </w:rPr>
        <w:t>Confirm the competent authority and governing EIA legislation for the actual project location.</w:t>
      </w:r>
    </w:p>
    <w:p>
      <w:pPr>
        <w:pStyle w:val="ListBullet"/>
      </w:pPr>
      <w:r>
        <w:rPr>
          <w:b w:val="0"/>
          <w:i w:val="0"/>
        </w:rPr>
        <w:t>Replace inapplicable Kuwait/KOC references or document why they apply contractually.</w:t>
      </w:r>
    </w:p>
    <w:p>
      <w:pPr>
        <w:pStyle w:val="ListBullet"/>
      </w:pPr>
      <w:r>
        <w:rPr>
          <w:b w:val="0"/>
          <w:i w:val="0"/>
        </w:rPr>
        <w:t>Add a legal register with requirement, source, version, applicability, evidence and responsible owner.</w:t>
      </w:r>
    </w:p>
    <w:p>
      <w:pPr>
        <w:pStyle w:val="Heading5"/>
      </w:pPr>
      <w:r>
        <w:rPr>
          <w:b w:val="0"/>
          <w:i w:val="0"/>
        </w:rPr>
        <w:t>Evidence and limitations</w:t>
      </w:r>
    </w:p>
    <w:p>
      <w:r>
        <w:rPr>
          <w:b w:val="0"/>
          <w:i w:val="0"/>
        </w:rPr>
        <w:t>Project design drawings, field survey records, permits, specialist studies and consultation records. Regulatory applicability is unresolved and must be verified before this report is issued or relied upon.</w:t>
      </w:r>
    </w:p>
    <w:p>
      <w:r>
        <w:rPr>
          <w:b/>
          <w:i w:val="0"/>
        </w:rPr>
        <w:t>Section context:</w:t>
      </w:r>
      <w:r>
        <w:rPr>
          <w:b w:val="0"/>
          <w:i w:val="0"/>
        </w:rPr>
        <w:t xml:space="preserve"> 7 — MITIGATION AND ENVIRONMENTAL MANAGEMENT.</w:t>
      </w:r>
    </w:p>
    <w:p/>
    <w:p>
      <w:pPr>
        <w:pStyle w:val="Heading1"/>
      </w:pPr>
      <w:r>
        <w:t>8. MONITORING PROGRAMME</w:t>
      </w:r>
    </w:p>
    <w:p>
      <w:pPr>
        <w:pStyle w:val="Heading2"/>
      </w:pPr>
      <w:r>
        <w:t>8.1 Monitoring Indicators, Methods and Locations</w:t>
      </w:r>
    </w:p>
    <w:p>
      <w:pPr>
        <w:pStyle w:val="Heading5"/>
      </w:pPr>
      <w:r>
        <w:rPr>
          <w:b w:val="0"/>
          <w:i w:val="0"/>
        </w:rPr>
        <w:t>Assessment response</w:t>
      </w:r>
    </w:p>
    <w:p>
      <w:r>
        <w:rPr>
          <w:b/>
          <w:i w:val="0"/>
        </w:rPr>
        <w:t>Demonstration scope:</w:t>
      </w:r>
      <w:r>
        <w:rPr>
          <w:b w:val="0"/>
          <w:i w:val="0"/>
        </w:rPr>
        <w:t xml:space="preserve"> This illustrative response addresses whether monitoring indicators, methods and locations.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8 — MONITORING PROGRAMME.</w:t>
      </w:r>
    </w:p>
    <w:p/>
    <w:p>
      <w:pPr>
        <w:pStyle w:val="Heading2"/>
      </w:pPr>
      <w:r>
        <w:t>8.2 Thresholds, Frequency, Reporting and Response</w:t>
      </w:r>
    </w:p>
    <w:p>
      <w:pPr>
        <w:pStyle w:val="Heading5"/>
      </w:pPr>
      <w:r>
        <w:rPr>
          <w:b w:val="0"/>
          <w:i w:val="0"/>
        </w:rPr>
        <w:t>Assessment response</w:t>
      </w:r>
    </w:p>
    <w:p>
      <w:r>
        <w:rPr>
          <w:b/>
          <w:i w:val="0"/>
        </w:rPr>
        <w:t>Demonstration scope:</w:t>
      </w:r>
      <w:r>
        <w:rPr>
          <w:b w:val="0"/>
          <w:i w:val="0"/>
        </w:rPr>
        <w:t xml:space="preserve"> This illustrative response addresses whether thresholds, frequency, reporting and response.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8 — MONITORING PROGRAMME.</w:t>
      </w:r>
    </w:p>
    <w:p/>
    <w:p>
      <w:pPr>
        <w:pStyle w:val="Heading1"/>
      </w:pPr>
      <w:r>
        <w:t>9. CUMULATIVE IMPACTS</w:t>
      </w:r>
    </w:p>
    <w:p>
      <w:pPr>
        <w:pStyle w:val="Heading2"/>
      </w:pPr>
      <w:r>
        <w:t>9.1 Other Developments and Valued Receptors</w:t>
      </w:r>
    </w:p>
    <w:p>
      <w:pPr>
        <w:pStyle w:val="Heading5"/>
      </w:pPr>
      <w:r>
        <w:rPr>
          <w:b w:val="0"/>
          <w:i w:val="0"/>
        </w:rPr>
        <w:t>Assessment response</w:t>
      </w:r>
    </w:p>
    <w:p>
      <w:r>
        <w:rPr>
          <w:b/>
          <w:i w:val="0"/>
        </w:rPr>
        <w:t>Demonstration scope:</w:t>
      </w:r>
      <w:r>
        <w:rPr>
          <w:b w:val="0"/>
          <w:i w:val="0"/>
        </w:rPr>
        <w:t xml:space="preserve"> This illustrative response addresses whether other developments and valued receptors.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9 — CUMULATIVE IMPACTS.</w:t>
      </w:r>
    </w:p>
    <w:p/>
    <w:p>
      <w:pPr>
        <w:pStyle w:val="Heading2"/>
      </w:pPr>
      <w:r>
        <w:t>9.2 Cumulative Effects, Mitigation and Residual Risk</w:t>
      </w:r>
    </w:p>
    <w:p>
      <w:pPr>
        <w:pStyle w:val="Heading5"/>
      </w:pPr>
      <w:r>
        <w:rPr>
          <w:b w:val="0"/>
          <w:i w:val="0"/>
        </w:rPr>
        <w:t>Assessment response</w:t>
      </w:r>
    </w:p>
    <w:p>
      <w:r>
        <w:rPr>
          <w:b/>
          <w:i w:val="0"/>
        </w:rPr>
        <w:t>Demonstration scope:</w:t>
      </w:r>
      <w:r>
        <w:rPr>
          <w:b w:val="0"/>
          <w:i w:val="0"/>
        </w:rPr>
        <w:t xml:space="preserve"> This illustrative response addresses whether cumulative effects, mitigation and residual risk.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9 — CUMULATIVE IMPACTS.</w:t>
      </w:r>
    </w:p>
    <w:p/>
    <w:p>
      <w:pPr>
        <w:pStyle w:val="Heading1"/>
      </w:pPr>
      <w:r>
        <w:t>10. CLIMATE, CARBON AND RESILIENCE</w:t>
      </w:r>
    </w:p>
    <w:p>
      <w:pPr>
        <w:pStyle w:val="Heading2"/>
      </w:pPr>
      <w:r>
        <w:t>10.1 Greenhouse Gas Emissions and Mitigation</w:t>
      </w:r>
    </w:p>
    <w:p>
      <w:pPr>
        <w:pStyle w:val="Heading5"/>
      </w:pPr>
      <w:r>
        <w:rPr>
          <w:b w:val="0"/>
          <w:i w:val="0"/>
        </w:rPr>
        <w:t>Assessment response</w:t>
      </w:r>
    </w:p>
    <w:p>
      <w:r>
        <w:rPr>
          <w:b/>
          <w:i w:val="0"/>
        </w:rPr>
        <w:t>Demonstration scope:</w:t>
      </w:r>
      <w:r>
        <w:rPr>
          <w:b w:val="0"/>
          <w:i w:val="0"/>
        </w:rPr>
        <w:t xml:space="preserve"> This illustrative response addresses whether greenhouse gas emissions and mitigation.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Waste inventories, emissions calculations, safety studies, monitoring plans and licensed contractor records. Final quantities, coordinates and thresholds must be confirmed against approved design data and applicable authority requirements.</w:t>
      </w:r>
    </w:p>
    <w:p>
      <w:r>
        <w:rPr>
          <w:b/>
          <w:i w:val="0"/>
        </w:rPr>
        <w:t>Section context:</w:t>
      </w:r>
      <w:r>
        <w:rPr>
          <w:b w:val="0"/>
          <w:i w:val="0"/>
        </w:rPr>
        <w:t xml:space="preserve"> 10 — CLIMATE, CARBON AND RESILIENCE.</w:t>
      </w:r>
    </w:p>
    <w:p/>
    <w:p>
      <w:pPr>
        <w:pStyle w:val="Heading2"/>
      </w:pPr>
      <w:r>
        <w:t>10.2 Climate Risk, Adaptation and Resilience</w:t>
      </w:r>
    </w:p>
    <w:p>
      <w:pPr>
        <w:pStyle w:val="Heading5"/>
      </w:pPr>
      <w:r>
        <w:rPr>
          <w:b w:val="0"/>
          <w:i w:val="0"/>
        </w:rPr>
        <w:t>Assessment response</w:t>
      </w:r>
    </w:p>
    <w:p>
      <w:r>
        <w:rPr>
          <w:b/>
          <w:i w:val="0"/>
        </w:rPr>
        <w:t>Demonstration scope:</w:t>
      </w:r>
      <w:r>
        <w:rPr>
          <w:b w:val="0"/>
          <w:i w:val="0"/>
        </w:rPr>
        <w:t xml:space="preserve"> This illustrative response addresses whether climate risk, adaptation and resilience.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10 — CLIMATE, CARBON AND RESILIENCE.</w:t>
      </w:r>
    </w:p>
    <w:p/>
    <w:p>
      <w:pPr>
        <w:pStyle w:val="Heading1"/>
      </w:pPr>
      <w:r>
        <w:t>11. STAKEHOLDER AND CONSULTATION RECORD</w:t>
      </w:r>
    </w:p>
    <w:p>
      <w:pPr>
        <w:pStyle w:val="Heading2"/>
      </w:pPr>
      <w:r>
        <w:t>11.1 Stakeholder Identification and Engagement</w:t>
      </w:r>
    </w:p>
    <w:p>
      <w:pPr>
        <w:pStyle w:val="Heading5"/>
      </w:pPr>
      <w:r>
        <w:rPr>
          <w:b w:val="0"/>
          <w:i w:val="0"/>
        </w:rPr>
        <w:t>Assessment response</w:t>
      </w:r>
    </w:p>
    <w:p>
      <w:r>
        <w:rPr>
          <w:b/>
          <w:i w:val="0"/>
        </w:rPr>
        <w:t>Demonstration scope:</w:t>
      </w:r>
      <w:r>
        <w:rPr>
          <w:b w:val="0"/>
          <w:i w:val="0"/>
        </w:rPr>
        <w:t xml:space="preserve"> This illustrative response addresses whether stakeholder identification and engagement.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11 — STAKEHOLDER AND CONSULTATION RECORD.</w:t>
      </w:r>
    </w:p>
    <w:p/>
    <w:p>
      <w:pPr>
        <w:pStyle w:val="Heading2"/>
      </w:pPr>
      <w:r>
        <w:t>11.2 Issues Raised, Responses and Commitments</w:t>
      </w:r>
    </w:p>
    <w:p>
      <w:pPr>
        <w:pStyle w:val="Heading5"/>
      </w:pPr>
      <w:r>
        <w:rPr>
          <w:b w:val="0"/>
          <w:i w:val="0"/>
        </w:rPr>
        <w:t>Assessment response</w:t>
      </w:r>
    </w:p>
    <w:p>
      <w:r>
        <w:rPr>
          <w:b/>
          <w:i w:val="0"/>
        </w:rPr>
        <w:t>Demonstration scope:</w:t>
      </w:r>
      <w:r>
        <w:rPr>
          <w:b w:val="0"/>
          <w:i w:val="0"/>
        </w:rPr>
        <w:t xml:space="preserve"> This illustrative response addresses whether issues raised, responses and commitments.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11 — STAKEHOLDER AND CONSULTATION RECORD.</w:t>
      </w:r>
    </w:p>
    <w:p/>
    <w:p>
      <w:pPr>
        <w:pStyle w:val="Heading2"/>
      </w:pPr>
      <w:r>
        <w:t>11.3 Grievance and Ongoing Engagement</w:t>
      </w:r>
    </w:p>
    <w:p>
      <w:pPr>
        <w:pStyle w:val="Heading5"/>
      </w:pPr>
      <w:r>
        <w:rPr>
          <w:b w:val="0"/>
          <w:i w:val="0"/>
        </w:rPr>
        <w:t>Assessment response</w:t>
      </w:r>
    </w:p>
    <w:p>
      <w:r>
        <w:rPr>
          <w:b/>
          <w:i w:val="0"/>
        </w:rPr>
        <w:t>Demonstration scope:</w:t>
      </w:r>
      <w:r>
        <w:rPr>
          <w:b w:val="0"/>
          <w:i w:val="0"/>
        </w:rPr>
        <w:t xml:space="preserve"> This illustrative response addresses whether grievance and ongoing engagement.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11 — STAKEHOLDER AND CONSULTATION RECORD.</w:t>
      </w:r>
    </w:p>
    <w:p/>
    <w:p>
      <w:pPr>
        <w:pStyle w:val="Heading1"/>
      </w:pPr>
      <w:r>
        <w:t>12. COMPLIANCE MATRIX</w:t>
      </w:r>
    </w:p>
    <w:p>
      <w:pPr>
        <w:pStyle w:val="Heading2"/>
      </w:pPr>
      <w:r>
        <w:t>12.1 Requirement-to-Evidence Compliance Matrix</w:t>
      </w:r>
    </w:p>
    <w:p>
      <w:pPr>
        <w:pStyle w:val="Heading5"/>
      </w:pPr>
      <w:r>
        <w:rPr>
          <w:b w:val="0"/>
          <w:i w:val="0"/>
        </w:rPr>
        <w:t>Assessment response</w:t>
      </w:r>
    </w:p>
    <w:p>
      <w:r>
        <w:rPr>
          <w:b/>
          <w:i w:val="0"/>
        </w:rPr>
        <w:t>Demonstration scope:</w:t>
      </w:r>
      <w:r>
        <w:rPr>
          <w:b w:val="0"/>
          <w:i w:val="0"/>
        </w:rPr>
        <w:t xml:space="preserve"> This illustrative response addresses whether requirement-to-evidence compliance matrix.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12 — COMPLIANCE MATRIX.</w:t>
      </w:r>
    </w:p>
    <w:p/>
    <w:p>
      <w:pPr>
        <w:pStyle w:val="Heading2"/>
      </w:pPr>
      <w:r>
        <w:t>12.2 Outstanding Obligations and Actions</w:t>
      </w:r>
    </w:p>
    <w:p>
      <w:pPr>
        <w:pStyle w:val="Heading5"/>
      </w:pPr>
      <w:r>
        <w:rPr>
          <w:b w:val="0"/>
          <w:i w:val="0"/>
        </w:rPr>
        <w:t>Assessment response</w:t>
      </w:r>
    </w:p>
    <w:p>
      <w:r>
        <w:rPr>
          <w:b/>
          <w:i w:val="0"/>
        </w:rPr>
        <w:t>Demonstration scope:</w:t>
      </w:r>
      <w:r>
        <w:rPr>
          <w:b w:val="0"/>
          <w:i w:val="0"/>
        </w:rPr>
        <w:t xml:space="preserve"> This illustrative response addresses whether outstanding obligations and actions.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12 — COMPLIANCE MATRIX.</w:t>
      </w:r>
    </w:p>
    <w:p/>
    <w:p>
      <w:pPr>
        <w:pStyle w:val="Heading1"/>
      </w:pPr>
      <w:r>
        <w:t>13. ENVIRONMENTAL INTELLIGENCE AND QA</w:t>
      </w:r>
    </w:p>
    <w:p>
      <w:pPr>
        <w:pStyle w:val="Heading2"/>
      </w:pPr>
      <w:r>
        <w:t>13.1 Evidence Traceability and Quality Assurance</w:t>
      </w:r>
    </w:p>
    <w:p>
      <w:pPr>
        <w:pStyle w:val="Heading5"/>
      </w:pPr>
      <w:r>
        <w:rPr>
          <w:b w:val="0"/>
          <w:i w:val="0"/>
        </w:rPr>
        <w:t>Assessment response</w:t>
      </w:r>
    </w:p>
    <w:p>
      <w:r>
        <w:rPr>
          <w:b/>
          <w:i w:val="0"/>
        </w:rPr>
        <w:t>Demonstration scope:</w:t>
      </w:r>
      <w:r>
        <w:rPr>
          <w:b w:val="0"/>
          <w:i w:val="0"/>
        </w:rPr>
        <w:t xml:space="preserve"> This illustrative response addresses whether evidence traceability and quality assurance.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13 — ENVIRONMENTAL INTELLIGENCE AND QA.</w:t>
      </w:r>
    </w:p>
    <w:p/>
    <w:p>
      <w:r>
        <w:rPr>
          <w:b/>
          <w:sz w:val="20"/>
        </w:rPr>
        <w:t>Supporting Evidence:</w:t>
      </w:r>
    </w:p>
    <w:p>
      <w:pPr>
        <w:pStyle w:val="ListBullet"/>
      </w:pPr>
      <w:r>
        <w:t>EnviroQuant_EIA_Export_Template_Prototype.docx (supporting_evidence)</w:t>
      </w:r>
    </w:p>
    <w:p/>
    <w:p>
      <w:pPr>
        <w:pStyle w:val="Heading2"/>
      </w:pPr>
      <w:r>
        <w:t>13.2 Data Gaps, Uncertainty and AI Transparency</w:t>
      </w:r>
    </w:p>
    <w:p>
      <w:pPr>
        <w:pStyle w:val="Heading5"/>
      </w:pPr>
      <w:r>
        <w:rPr>
          <w:b w:val="0"/>
          <w:i w:val="0"/>
        </w:rPr>
        <w:t>Assessment response</w:t>
      </w:r>
    </w:p>
    <w:p>
      <w:r>
        <w:rPr>
          <w:b/>
          <w:i w:val="0"/>
        </w:rPr>
        <w:t>Demonstration scope:</w:t>
      </w:r>
      <w:r>
        <w:rPr>
          <w:b w:val="0"/>
          <w:i w:val="0"/>
        </w:rPr>
        <w:t xml:space="preserve"> This illustrative response addresses whether data gaps, uncertainty and ai transparency.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13 — ENVIRONMENTAL INTELLIGENCE AND QA.</w:t>
      </w:r>
    </w:p>
    <w:p/>
    <w:p>
      <w:pPr>
        <w:pStyle w:val="Heading2"/>
      </w:pPr>
      <w:r>
        <w:t>13.3 Professional Review and Reviewer Decisions</w:t>
      </w:r>
    </w:p>
    <w:p>
      <w:pPr>
        <w:pStyle w:val="Heading5"/>
      </w:pPr>
      <w:r>
        <w:rPr>
          <w:b w:val="0"/>
          <w:i w:val="0"/>
        </w:rPr>
        <w:t>Assessment response</w:t>
      </w:r>
    </w:p>
    <w:p>
      <w:r>
        <w:rPr>
          <w:b/>
          <w:i w:val="0"/>
        </w:rPr>
        <w:t>Demonstration scope:</w:t>
      </w:r>
      <w:r>
        <w:rPr>
          <w:b w:val="0"/>
          <w:i w:val="0"/>
        </w:rPr>
        <w:t xml:space="preserve"> This illustrative response addresses whether professional review and reviewer decisions.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13 — ENVIRONMENTAL INTELLIGENCE AND QA.</w:t>
      </w:r>
    </w:p>
    <w:p/>
    <w:p>
      <w:pPr>
        <w:pStyle w:val="Heading1"/>
      </w:pPr>
      <w:r>
        <w:t>14. CONCLUSIONS AND DECISION READINESS</w:t>
      </w:r>
    </w:p>
    <w:p>
      <w:pPr>
        <w:pStyle w:val="Heading2"/>
      </w:pPr>
      <w:r>
        <w:t>14.1 Overall Conclusions and Residual Effects</w:t>
      </w:r>
    </w:p>
    <w:p>
      <w:pPr>
        <w:pStyle w:val="Heading5"/>
      </w:pPr>
      <w:r>
        <w:rPr>
          <w:b w:val="0"/>
          <w:i w:val="0"/>
        </w:rPr>
        <w:t>Assessment response</w:t>
      </w:r>
    </w:p>
    <w:p>
      <w:r>
        <w:rPr>
          <w:b/>
          <w:i w:val="0"/>
        </w:rPr>
        <w:t>Demonstration scope:</w:t>
      </w:r>
      <w:r>
        <w:rPr>
          <w:b w:val="0"/>
          <w:i w:val="0"/>
        </w:rPr>
        <w:t xml:space="preserve"> This illustrative response addresses whether overall conclusions and residual effects.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14 — CONCLUSIONS AND DECISION READINESS.</w:t>
      </w:r>
    </w:p>
    <w:p/>
    <w:p>
      <w:pPr>
        <w:pStyle w:val="Heading2"/>
      </w:pPr>
      <w:r>
        <w:t>14.2 Conditions, Priority Actions and Decision Readiness</w:t>
      </w:r>
    </w:p>
    <w:p>
      <w:pPr>
        <w:pStyle w:val="Heading5"/>
      </w:pPr>
      <w:r>
        <w:rPr>
          <w:b w:val="0"/>
          <w:i w:val="0"/>
        </w:rPr>
        <w:t>Assessment response</w:t>
      </w:r>
    </w:p>
    <w:p>
      <w:r>
        <w:rPr>
          <w:b/>
          <w:i w:val="0"/>
        </w:rPr>
        <w:t>Demonstration scope:</w:t>
      </w:r>
      <w:r>
        <w:rPr>
          <w:b w:val="0"/>
          <w:i w:val="0"/>
        </w:rPr>
        <w:t xml:space="preserve"> This illustrative response addresses whether conditions, priority actions and decision readiness.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14 — CONCLUSIONS AND DECISION READINESS.</w:t>
      </w:r>
    </w:p>
    <w:p/>
    <w:p>
      <w:pPr>
        <w:pStyle w:val="Heading1"/>
      </w:pPr>
      <w:r>
        <w:t>A. APPENDICES AND EVIDENCE REGISTER</w:t>
      </w:r>
    </w:p>
    <w:p>
      <w:pPr>
        <w:pStyle w:val="Heading2"/>
      </w:pPr>
      <w:r>
        <w:t>A.1 Appendix Schedule</w:t>
      </w:r>
    </w:p>
    <w:p>
      <w:pPr>
        <w:pStyle w:val="Heading5"/>
      </w:pPr>
      <w:r>
        <w:rPr>
          <w:b w:val="0"/>
          <w:i w:val="0"/>
        </w:rPr>
        <w:t>Assessment response</w:t>
      </w:r>
    </w:p>
    <w:p>
      <w:r>
        <w:rPr>
          <w:b/>
          <w:i w:val="0"/>
        </w:rPr>
        <w:t>Demonstration scope:</w:t>
      </w:r>
      <w:r>
        <w:rPr>
          <w:b w:val="0"/>
          <w:i w:val="0"/>
        </w:rPr>
        <w:t xml:space="preserve"> This illustrative response addresses whether appendix schedule.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A — APPENDICES AND EVIDENCE REGISTER.</w:t>
      </w:r>
    </w:p>
    <w:p/>
    <w:p>
      <w:pPr>
        <w:pStyle w:val="Heading2"/>
      </w:pPr>
      <w:r>
        <w:t>A.2 Evidence Register</w:t>
      </w:r>
    </w:p>
    <w:p>
      <w:pPr>
        <w:pStyle w:val="Heading5"/>
      </w:pPr>
      <w:r>
        <w:rPr>
          <w:b w:val="0"/>
          <w:i w:val="0"/>
        </w:rPr>
        <w:t>Assessment response</w:t>
      </w:r>
    </w:p>
    <w:p>
      <w:r>
        <w:rPr>
          <w:b/>
          <w:i w:val="0"/>
        </w:rPr>
        <w:t>Demonstration scope:</w:t>
      </w:r>
      <w:r>
        <w:rPr>
          <w:b w:val="0"/>
          <w:i w:val="0"/>
        </w:rPr>
        <w:t xml:space="preserve"> This illustrative response addresses whether evidence register.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A — APPENDICES AND EVIDENCE REGISTER.</w:t>
      </w:r>
    </w:p>
    <w:p/>
    <w:p>
      <w:pPr>
        <w:pStyle w:val="Heading2"/>
      </w:pPr>
      <w:r>
        <w:t>A.3 Figures, Tables and Supporting Records</w:t>
      </w:r>
    </w:p>
    <w:p>
      <w:pPr>
        <w:pStyle w:val="Heading5"/>
      </w:pPr>
      <w:r>
        <w:rPr>
          <w:b w:val="0"/>
          <w:i w:val="0"/>
        </w:rPr>
        <w:t>Assessment response</w:t>
      </w:r>
    </w:p>
    <w:p>
      <w:r>
        <w:rPr>
          <w:b/>
          <w:i w:val="0"/>
        </w:rPr>
        <w:t>Demonstration scope:</w:t>
      </w:r>
      <w:r>
        <w:rPr>
          <w:b w:val="0"/>
          <w:i w:val="0"/>
        </w:rPr>
        <w:t xml:space="preserve"> This illustrative response addresses whether figures, tables and supporting records.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A — APPENDICES AND EVIDENCE REGISTER.</w:t>
      </w:r>
    </w:p>
    <w:p/>
    <w:p>
      <w:r>
        <w:br w:type="page"/>
      </w:r>
    </w:p>
    <w:p>
      <w:pPr>
        <w:pStyle w:val="Heading1"/>
      </w:pPr>
      <w:r>
        <w:t>Evidence Traceability Matrix</w:t>
      </w:r>
    </w:p>
    <w:p>
      <w:r>
        <w:t>This matrix preserves the audit path from requirement to evidence, assessment, gap and recommended action. A missing source is reported explicitly and is not inferred by the AI.</w:t>
      </w:r>
    </w:p>
    <w:tbl>
      <w:tblPr>
        <w:tblStyle w:val="TableGrid"/>
        <w:tblW w:type="auto" w:w="0"/>
        <w:tblLook w:firstColumn="1" w:firstRow="1" w:lastColumn="0" w:lastRow="0" w:noHBand="0" w:noVBand="1" w:val="04A0"/>
      </w:tblPr>
      <w:tblGrid>
        <w:gridCol w:w="1252"/>
        <w:gridCol w:w="1252"/>
        <w:gridCol w:w="1252"/>
        <w:gridCol w:w="1252"/>
        <w:gridCol w:w="1252"/>
        <w:gridCol w:w="1252"/>
        <w:gridCol w:w="1252"/>
      </w:tblGrid>
      <w:tr>
        <w:tc>
          <w:tcPr>
            <w:tcW w:type="dxa" w:w="1252"/>
          </w:tcPr>
          <w:p>
            <w:r>
              <w:rPr>
                <w:b/>
              </w:rPr>
              <w:t>Requirement</w:t>
            </w:r>
          </w:p>
        </w:tc>
        <w:tc>
          <w:tcPr>
            <w:tcW w:type="dxa" w:w="1252"/>
          </w:tcPr>
          <w:p>
            <w:r>
              <w:rPr>
                <w:b/>
              </w:rPr>
              <w:t>Evidence / source</w:t>
            </w:r>
          </w:p>
        </w:tc>
        <w:tc>
          <w:tcPr>
            <w:tcW w:type="dxa" w:w="1252"/>
          </w:tcPr>
          <w:p>
            <w:r>
              <w:rPr>
                <w:b/>
              </w:rPr>
              <w:t>Assessment</w:t>
            </w:r>
          </w:p>
        </w:tc>
        <w:tc>
          <w:tcPr>
            <w:tcW w:type="dxa" w:w="1252"/>
          </w:tcPr>
          <w:p>
            <w:r>
              <w:rPr>
                <w:b/>
              </w:rPr>
              <w:t>Finding status</w:t>
            </w:r>
          </w:p>
        </w:tc>
        <w:tc>
          <w:tcPr>
            <w:tcW w:type="dxa" w:w="1252"/>
          </w:tcPr>
          <w:p>
            <w:r>
              <w:rPr>
                <w:b/>
              </w:rPr>
              <w:t>Gap</w:t>
            </w:r>
          </w:p>
        </w:tc>
        <w:tc>
          <w:tcPr>
            <w:tcW w:type="dxa" w:w="1252"/>
          </w:tcPr>
          <w:p>
            <w:r>
              <w:rPr>
                <w:b/>
              </w:rPr>
              <w:t>Recommendation</w:t>
            </w:r>
          </w:p>
        </w:tc>
        <w:tc>
          <w:tcPr>
            <w:tcW w:type="dxa" w:w="1252"/>
          </w:tcPr>
          <w:p>
            <w:r>
              <w:rPr>
                <w:b/>
              </w:rPr>
              <w:t>Confidence</w:t>
            </w:r>
          </w:p>
        </w:tc>
      </w:tr>
      <w:tr>
        <w:tc>
          <w:tcPr>
            <w:tcW w:type="dxa" w:w="1252"/>
          </w:tcPr>
          <w:p>
            <w:r>
              <w:t>Review required</w:t>
            </w:r>
          </w:p>
        </w:tc>
        <w:tc>
          <w:tcPr>
            <w:tcW w:type="dxa" w:w="1252"/>
          </w:tcPr>
          <w:p>
            <w:r>
              <w:t>Evidence not assessed</w:t>
            </w:r>
          </w:p>
        </w:tc>
        <w:tc>
          <w:tcPr>
            <w:tcW w:type="dxa" w:w="1252"/>
          </w:tcPr>
          <w:p>
            <w:r>
              <w:t>Assessment pending</w:t>
            </w:r>
          </w:p>
        </w:tc>
        <w:tc>
          <w:tcPr>
            <w:tcW w:type="dxa" w:w="1252"/>
          </w:tcPr>
          <w:p>
            <w:r>
              <w:t>Needs review</w:t>
            </w:r>
          </w:p>
        </w:tc>
        <w:tc>
          <w:tcPr>
            <w:tcW w:type="dxa" w:w="1252"/>
          </w:tcPr>
          <w:p>
            <w:r>
              <w:t>Not established</w:t>
            </w:r>
          </w:p>
        </w:tc>
        <w:tc>
          <w:tcPr>
            <w:tcW w:type="dxa" w:w="1252"/>
          </w:tcPr>
          <w:p>
            <w:r>
              <w:t>Complete RQEIA review</w:t>
            </w:r>
          </w:p>
        </w:tc>
        <w:tc>
          <w:tcPr>
            <w:tcW w:type="dxa" w:w="1252"/>
          </w:tcPr>
          <w:p>
            <w:r>
              <w:t>Not assessed</w:t>
            </w:r>
          </w:p>
        </w:tc>
      </w:tr>
    </w:tbl>
    <w:p>
      <w:pPr>
        <w:pStyle w:val="Heading1"/>
      </w:pPr>
      <w:r>
        <w:t>Regulatory and Compliance Matrix</w:t>
      </w:r>
    </w:p>
    <w:tbl>
      <w:tblPr>
        <w:tblStyle w:val="TableGrid"/>
        <w:tblW w:type="auto" w:w="0"/>
        <w:tblLook w:firstColumn="1" w:firstRow="1" w:lastColumn="0" w:lastRow="0" w:noHBand="0" w:noVBand="1" w:val="04A0"/>
      </w:tblPr>
      <w:tblGrid>
        <w:gridCol w:w="1461"/>
        <w:gridCol w:w="1461"/>
        <w:gridCol w:w="1461"/>
        <w:gridCol w:w="1461"/>
        <w:gridCol w:w="1461"/>
        <w:gridCol w:w="1461"/>
      </w:tblGrid>
      <w:tr>
        <w:tc>
          <w:tcPr>
            <w:tcW w:type="dxa" w:w="1461"/>
          </w:tcPr>
          <w:p>
            <w:r>
              <w:rPr>
                <w:b/>
              </w:rPr>
              <w:t>Reference</w:t>
            </w:r>
          </w:p>
        </w:tc>
        <w:tc>
          <w:tcPr>
            <w:tcW w:type="dxa" w:w="1461"/>
          </w:tcPr>
          <w:p>
            <w:r>
              <w:rPr>
                <w:b/>
              </w:rPr>
              <w:t>Requirement</w:t>
            </w:r>
          </w:p>
        </w:tc>
        <w:tc>
          <w:tcPr>
            <w:tcW w:type="dxa" w:w="1461"/>
          </w:tcPr>
          <w:p>
            <w:r>
              <w:rPr>
                <w:b/>
              </w:rPr>
              <w:t>Applicability</w:t>
            </w:r>
          </w:p>
        </w:tc>
        <w:tc>
          <w:tcPr>
            <w:tcW w:type="dxa" w:w="1461"/>
          </w:tcPr>
          <w:p>
            <w:r>
              <w:rPr>
                <w:b/>
              </w:rPr>
              <w:t>Evidence</w:t>
            </w:r>
          </w:p>
        </w:tc>
        <w:tc>
          <w:tcPr>
            <w:tcW w:type="dxa" w:w="1461"/>
          </w:tcPr>
          <w:p>
            <w:r>
              <w:rPr>
                <w:b/>
              </w:rPr>
              <w:t>Assessment</w:t>
            </w:r>
          </w:p>
        </w:tc>
        <w:tc>
          <w:tcPr>
            <w:tcW w:type="dxa" w:w="1461"/>
          </w:tcPr>
          <w:p>
            <w:r>
              <w:rPr>
                <w:b/>
              </w:rPr>
              <w:t>Required action</w:t>
            </w:r>
          </w:p>
        </w:tc>
      </w:tr>
      <w:tr>
        <w:tc>
          <w:tcPr>
            <w:tcW w:type="dxa" w:w="1461"/>
          </w:tcPr>
          <w:p>
            <w:r>
              <w:t>Pending</w:t>
            </w:r>
          </w:p>
        </w:tc>
        <w:tc>
          <w:tcPr>
            <w:tcW w:type="dxa" w:w="1461"/>
          </w:tcPr>
          <w:p>
            <w:r>
              <w:t>Applicable requirements not yet assessed</w:t>
            </w:r>
          </w:p>
        </w:tc>
        <w:tc>
          <w:tcPr>
            <w:tcW w:type="dxa" w:w="1461"/>
          </w:tcPr>
          <w:p>
            <w:r>
              <w:t>Requires professional confirmation</w:t>
            </w:r>
          </w:p>
        </w:tc>
        <w:tc>
          <w:tcPr>
            <w:tcW w:type="dxa" w:w="1461"/>
          </w:tcPr>
          <w:p>
            <w:r>
              <w:t>Evidence not assessed</w:t>
            </w:r>
          </w:p>
        </w:tc>
        <w:tc>
          <w:tcPr>
            <w:tcW w:type="dxa" w:w="1461"/>
          </w:tcPr>
          <w:p>
            <w:r>
              <w:t>Needs review</w:t>
            </w:r>
          </w:p>
        </w:tc>
        <w:tc>
          <w:tcPr>
            <w:tcW w:type="dxa" w:w="1461"/>
          </w:tcPr>
          <w:p>
            <w:r>
              <w:t>Complete regulatory and RQEIA review</w:t>
            </w:r>
          </w:p>
        </w:tc>
      </w:tr>
    </w:tbl>
    <w:p>
      <w:r>
        <w:br w:type="page"/>
      </w:r>
    </w:p>
    <w:p>
      <w:pPr>
        <w:pStyle w:val="Heading1"/>
      </w:pPr>
      <w:r>
        <w:t>Conclusions and Decision Readiness</w:t>
      </w:r>
    </w:p>
    <w:p>
      <w:r>
        <w:t>Decision readiness has not been assessed because no completed RQEIA review is linked.</w:t>
      </w:r>
    </w:p>
    <w:p>
      <w:pPr>
        <w:pStyle w:val="Heading2"/>
      </w:pPr>
      <w:r>
        <w:t>Authorised Reviewer Decision</w:t>
      </w:r>
    </w:p>
    <w:tbl>
      <w:tblPr>
        <w:tblStyle w:val="TableGrid"/>
        <w:tblW w:type="auto" w:w="0"/>
        <w:tblLook w:firstColumn="1" w:firstRow="1" w:lastColumn="0" w:lastRow="0" w:noHBand="0" w:noVBand="1" w:val="04A0"/>
      </w:tblPr>
      <w:tblGrid>
        <w:gridCol w:w="2922"/>
        <w:gridCol w:w="2922"/>
        <w:gridCol w:w="2922"/>
      </w:tblGrid>
      <w:tr>
        <w:tc>
          <w:tcPr>
            <w:tcW w:type="dxa" w:w="2922"/>
          </w:tcPr>
          <w:p>
            <w:r>
              <w:rPr>
                <w:b/>
              </w:rPr>
              <w:t>Decision</w:t>
            </w:r>
          </w:p>
        </w:tc>
        <w:tc>
          <w:tcPr>
            <w:tcW w:type="dxa" w:w="2922"/>
          </w:tcPr>
          <w:p>
            <w:r>
              <w:rPr>
                <w:b/>
              </w:rPr>
              <w:t>Reviewer note</w:t>
            </w:r>
          </w:p>
        </w:tc>
        <w:tc>
          <w:tcPr>
            <w:tcW w:type="dxa" w:w="2922"/>
          </w:tcPr>
          <w:p>
            <w:r>
              <w:rPr>
                <w:b/>
              </w:rPr>
              <w:t>Date</w:t>
            </w:r>
          </w:p>
        </w:tc>
      </w:tr>
      <w:tr>
        <w:tc>
          <w:tcPr>
            <w:tcW w:type="dxa" w:w="2922"/>
          </w:tcPr>
          <w:p>
            <w:r>
              <w:t>Pending authorised review</w:t>
            </w:r>
          </w:p>
        </w:tc>
        <w:tc>
          <w:tcPr>
            <w:tcW w:type="dxa" w:w="2922"/>
          </w:tcPr>
          <w:p>
            <w:r>
              <w:t>AI output is advisory and cannot approve or issue the EIA.</w:t>
            </w:r>
          </w:p>
        </w:tc>
        <w:tc>
          <w:tcPr>
            <w:tcW w:type="dxa" w:w="2922"/>
          </w:tcPr>
          <w:p>
            <w:r>
              <w:t>Pending</w:t>
            </w:r>
          </w:p>
        </w:tc>
      </w:tr>
    </w:tbl>
    <w:p>
      <w:r>
        <w:br w:type="page"/>
      </w:r>
    </w:p>
    <w:p>
      <w:pPr>
        <w:pStyle w:val="Heading1"/>
      </w:pPr>
      <w:r>
        <w:t>Evidence Register</w:t>
      </w:r>
    </w:p>
    <w:tbl>
      <w:tblPr>
        <w:tblStyle w:val="TableGrid"/>
        <w:tblW w:type="auto" w:w="0"/>
        <w:jc w:val="center"/>
        <w:tblLook w:firstColumn="1" w:firstRow="1" w:lastColumn="0" w:lastRow="0" w:noHBand="0" w:noVBand="1" w:val="04A0"/>
      </w:tblPr>
      <w:tblGrid>
        <w:gridCol w:w="1753"/>
        <w:gridCol w:w="1753"/>
        <w:gridCol w:w="1753"/>
        <w:gridCol w:w="1753"/>
        <w:gridCol w:w="1753"/>
      </w:tblGrid>
      <w:tr>
        <w:tc>
          <w:tcPr>
            <w:tcW w:type="dxa" w:w="1753"/>
          </w:tcPr>
          <w:p>
            <w:r>
              <w:rPr>
                <w:b/>
              </w:rPr>
              <w:t>Evidence ID</w:t>
            </w:r>
          </w:p>
        </w:tc>
        <w:tc>
          <w:tcPr>
            <w:tcW w:type="dxa" w:w="1753"/>
          </w:tcPr>
          <w:p>
            <w:r>
              <w:rPr>
                <w:b/>
              </w:rPr>
              <w:t>Document</w:t>
            </w:r>
          </w:p>
        </w:tc>
        <w:tc>
          <w:tcPr>
            <w:tcW w:type="dxa" w:w="1753"/>
          </w:tcPr>
          <w:p>
            <w:r>
              <w:rPr>
                <w:b/>
              </w:rPr>
              <w:t>Type</w:t>
            </w:r>
          </w:p>
        </w:tc>
        <w:tc>
          <w:tcPr>
            <w:tcW w:type="dxa" w:w="1753"/>
          </w:tcPr>
          <w:p>
            <w:r>
              <w:rPr>
                <w:b/>
              </w:rPr>
              <w:t>Used in</w:t>
            </w:r>
          </w:p>
        </w:tc>
        <w:tc>
          <w:tcPr>
            <w:tcW w:type="dxa" w:w="1753"/>
          </w:tcPr>
          <w:p>
            <w:r>
              <w:rPr>
                <w:b/>
              </w:rPr>
              <w:t>File size</w:t>
            </w:r>
          </w:p>
        </w:tc>
      </w:tr>
      <w:tr>
        <w:tc>
          <w:tcPr>
            <w:tcW w:type="dxa" w:w="1753"/>
          </w:tcPr>
          <w:p>
            <w:r>
              <w:t>EV-0001</w:t>
            </w:r>
          </w:p>
        </w:tc>
        <w:tc>
          <w:tcPr>
            <w:tcW w:type="dxa" w:w="1753"/>
          </w:tcPr>
          <w:p>
            <w:r>
              <w:t>EnviroQuant_EIA_Export_Template_Prototype.docx</w:t>
            </w:r>
          </w:p>
        </w:tc>
        <w:tc>
          <w:tcPr>
            <w:tcW w:type="dxa" w:w="1753"/>
          </w:tcPr>
          <w:p>
            <w:r>
              <w:t>supporting_evidence</w:t>
            </w:r>
          </w:p>
        </w:tc>
        <w:tc>
          <w:tcPr>
            <w:tcW w:type="dxa" w:w="1753"/>
          </w:tcPr>
          <w:p>
            <w:r>
              <w:t>13.1</w:t>
            </w:r>
          </w:p>
        </w:tc>
        <w:tc>
          <w:tcPr>
            <w:tcW w:type="dxa" w:w="1753"/>
          </w:tcPr>
          <w:p>
            <w:r>
              <w:t>47.1 KB</w:t>
            </w:r>
          </w:p>
        </w:tc>
      </w:tr>
    </w:tbl>
    <w:p/>
    <w:p/>
    <w:p>
      <w:r>
        <w:rPr>
          <w:color w:val="DCE6E1"/>
        </w:rPr>
        <w:t>————————————————————————————————————————</w:t>
      </w:r>
    </w:p>
    <w:p>
      <w:r>
        <w:rPr>
          <w:i/>
          <w:color w:val="9AABA3"/>
          <w:sz w:val="16"/>
        </w:rPr>
        <w:t>Document ID: 5638ecb6-1bc0-485d-a72d-6945f83130a0 | Generated: 2026-09-28 21:58 UTC | EnviroQuant EIA Platform</w:t>
      </w:r>
    </w:p>
    <w:sectPr w:rsidR="00FC693F" w:rsidRPr="0006063C" w:rsidSect="00034616">
      <w:headerReference w:type="default" r:id="rId9"/>
      <w:footerReference w:type="default" r:id="rId10"/>
      <w:pgSz w:w="11906" w:h="16838"/>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97A73"/>
        <w:sz w:val="16"/>
      </w:rPr>
      <w:t xml:space="preserve">EnviroQuant  •  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675E"/>
        <w:sz w:val="16"/>
      </w:rPr>
      <w:t>TIERS Limited EIA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837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23F2E"/>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23F2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23F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