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spacing w:line="348" w:lineRule="auto" w:after="140" w:before="0"/>
        <w:keepNext/>
        <w:widowControl w:val="1"/>
        <w:jc w:val="right"/>
      </w:pPr>
      <w:r>
        <w:rPr>
          <w:rFonts w:ascii="Vazirmatn" w:hAnsi="Vazirmatn" w:eastAsia="Vazirmatn" w:cs="Vazirmatn"/>
          <w:sz w:val="38"/>
          <w:szCs w:val="38"/>
          <w:rtl w:val="1"/>
          <w:b w:val="0"/>
          <w:bCs w:val="0"/>
          <w:lang w:val="fa-IR" w:bidi="fa-IR"/>
          <w:color w:val="000000"/>
        </w:rPr>
        <w:t>‫</w:t>
      </w:r>
      <w:r>
        <w:rPr>
          <w:rFonts w:ascii="Vazirmatn" w:hAnsi="Vazirmatn" w:eastAsia="Vazirmatn" w:cs="Vazirmatn"/>
          <w:sz w:val="38"/>
          <w:szCs w:val="38"/>
          <w:rtl w:val="1"/>
          <w:b w:val="1"/>
          <w:bCs w:val="1"/>
          <w:lang w:val="fa-IR" w:bidi="fa-IR"/>
          <w:color w:val="000000"/>
        </w:rPr>
        <w:t>نگاه قرآنی به رسالت انسانی — جلسهٔ اول</w:t>
      </w:r>
      <w:r>
        <w:rPr>
          <w:rFonts w:ascii="Vazirmatn" w:hAnsi="Vazirmatn" w:eastAsia="Vazirmatn" w:cs="Vazirmatn"/>
          <w:sz w:val="38"/>
          <w:szCs w:val="38"/>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نسخهٔ بازبینی‌شدهٔ متنی</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1"/>
          <w:bCs w:val="1"/>
          <w:lang w:val="fa-IR" w:bidi="fa-IR"/>
          <w:color w:val="000000"/>
        </w:rPr>
        <w:t>نوع بازبینی:</w:t>
      </w:r>
      <w:r>
        <w:rPr>
          <w:rFonts w:ascii="Vazirmatn" w:hAnsi="Vazirmatn" w:eastAsia="Vazirmatn" w:cs="Vazirmatn"/>
          <w:sz w:val="25"/>
          <w:szCs w:val="25"/>
          <w:rtl w:val="1"/>
          <w:b w:val="0"/>
          <w:bCs w:val="0"/>
          <w:lang w:val="fa-IR" w:bidi="fa-IR"/>
          <w:color w:val="000000"/>
        </w:rPr>
        <w:t xml:space="preserve"> خواندن و بازنویسی معناییِ تمام متن موجود در همین گفت‌وگو، با حفظ ترتیب بحث و پرسش‌وپاسخ‌ها؛ نه بازشناسیِ دوبارهٔ صوت. این نسخه خلاصهٔ موضوعی نیست، اما تکیه‌کلام‌ها و جمله‌های شکسته برای خوانایی ویرایش شده‌اند.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1"/>
          <w:bCs w:val="1"/>
          <w:lang w:val="fa-IR" w:bidi="fa-IR"/>
          <w:color w:val="000000"/>
        </w:rPr>
        <w:t>محدودهٔ اطمینان:</w:t>
      </w:r>
      <w:r>
        <w:rPr>
          <w:rFonts w:ascii="Vazirmatn" w:hAnsi="Vazirmatn" w:eastAsia="Vazirmatn" w:cs="Vazirmatn"/>
          <w:sz w:val="25"/>
          <w:szCs w:val="25"/>
          <w:rtl w:val="1"/>
          <w:b w:val="0"/>
          <w:bCs w:val="0"/>
          <w:lang w:val="fa-IR" w:bidi="fa-IR"/>
          <w:color w:val="000000"/>
        </w:rPr>
        <w:t xml:space="preserve"> «مأموریت فردی» با تصحیح صریح کاربر جایگزین شده است. واژه‌های مخدوش با اتکا به سیاق اصلاح شده‌اند؛ نام‌ها، تاریخ‌ها و بخش‌های بازیابی‌ناپذیر حدس زده نشده‌اند. عبارت‌های داخل کروشه یادداشت ویراستارند. نقل‌های قرآنیِ قابل شناسایی بر اساس ارجاع و عبارت موجود بازنویسی شده‌اند؛ با صوت و مصحف مستقلاً تطبیق نشده‌اند. توضیح‌های تفسیری، دیدگاه گوینده‌اند و این ویرایش تأییدِ آنها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hyperlink r:id="rId10">
        <w:r>
          <w:rPr>
            <w:rFonts w:ascii="Vazirmatn" w:hAnsi="Vazirmatn" w:eastAsia="Vazirmatn" w:cs="Vazirmatn"/>
            <w:sz w:val="25"/>
            <w:szCs w:val="25"/>
            <w:rtl w:val="1"/>
            <w:b w:val="0"/>
            <w:bCs w:val="0"/>
            <w:lang w:val="fa-IR" w:bidi="fa-IR"/>
            <w:color w:val="000000"/>
          </w:rPr>
          <w:t>نسخهٔ ماشینی اولیه</w:t>
        </w:r>
      </w:hyperlink>
      <w:r>
        <w:rPr>
          <w:rFonts w:ascii="Vazirmatn" w:hAnsi="Vazirmatn" w:eastAsia="Vazirmatn" w:cs="Vazirmatn"/>
          <w:sz w:val="25"/>
          <w:szCs w:val="25"/>
          <w:rtl w:val="1"/>
          <w:b w:val="0"/>
          <w:bCs w:val="0"/>
          <w:lang w:val="fa-IR" w:bidi="fa-IR"/>
          <w:color w:val="000000"/>
        </w:rPr>
        <w:t xml:space="preserve"> · </w:t>
      </w:r>
      <w:hyperlink r:id="rId11">
        <w:r>
          <w:rPr>
            <w:rFonts w:ascii="Vazirmatn" w:hAnsi="Vazirmatn" w:eastAsia="Vazirmatn" w:cs="Vazirmatn"/>
            <w:sz w:val="25"/>
            <w:szCs w:val="25"/>
            <w:rtl w:val="1"/>
            <w:b w:val="0"/>
            <w:bCs w:val="0"/>
            <w:lang w:val="fa-IR" w:bidi="fa-IR"/>
            <w:color w:val="000000"/>
          </w:rPr>
          <w:t>نسخهٔ زمان‌دار برای تطبیق</w:t>
        </w:r>
      </w:hyperlink>
      <w:r>
        <w:rPr>
          <w:rFonts w:ascii="Vazirmatn" w:hAnsi="Vazirmatn" w:eastAsia="Vazirmatn" w:cs="Vazirmatn"/>
          <w:sz w:val="25"/>
          <w:szCs w:val="25"/>
          <w:rtl w:val="1"/>
          <w:b w:val="0"/>
          <w:bCs w:val="0"/>
          <w:lang w:val="fa-IR" w:bidi="fa-IR"/>
          <w:color w:val="000000"/>
        </w:rPr>
        <w:t xml:space="preserve"> · </w:t>
      </w:r>
      <w:hyperlink r:id="rId12">
        <w:r>
          <w:rPr>
            <w:rFonts w:ascii="Vazirmatn" w:hAnsi="Vazirmatn" w:eastAsia="Vazirmatn" w:cs="Vazirmatn"/>
            <w:sz w:val="25"/>
            <w:szCs w:val="25"/>
            <w:rtl w:val="1"/>
            <w:b w:val="0"/>
            <w:bCs w:val="0"/>
            <w:lang w:val="fa-IR" w:bidi="fa-IR"/>
            <w:color w:val="000000"/>
          </w:rPr>
          <w:t>گزارش بازبینی</w:t>
        </w:r>
      </w:hyperlink>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هدف خلقت و مأموریت فردی</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سؤال اصلی ما در مأموریت فردی این است که برای چه خلق شده‌ایم: من برای چه ساخته و آفریده شده‌ام؟ [ادامهٔ یک عبارت در متن ماشینی روشن نیست.] تقریباً هفت آیه هست که به گونه‌های مختلف، هدف خلقت انسان را بیان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یکی از مهم‌ترین این آیات، آیهٔ ۵۶ سورهٔ ذاریات است؛ صفحهٔ ۵۲۳: «وَما خَلَقْتُ الْجِنَّ وَالْإِنْسَ إِلّا لِيَعْبُدُونِ». اهل علم می‌گویند ساختار «ما ... إلّا» حصر ایجاد می‌کند؛ یعنی نه اینکه عبادت یکی از اهداف خلقت باشد، بلکه هدف خلقت شما عبادت است و چیزی جز عبادت هدف خلقت نیست. این ساختار، هر دو طرف را بیان می‌کند. [نقل آیه در این بند از روی ارجاع صریح بازنویسی شده است، نه از راه شنیدن صوت.]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پس می‌گوییم فقط برای عبادت خلق شده‌ایم. اگر هدف خلقت ما عبادت باشد، عبادت‌کردن رسالت ما می‌شود. بعد می‌پرسیم: چشم‌اندازمان چه شد؟ چه کسی ما را به آنجا و به چیزهایی که دوست داشتیم داشته باشیم، می‌رساند؟ آیه ادامه می‌دهد. یادتان باشد گفتم هستی چشم‌انداز را محقق می‌کند؛ ما مأمور به انجام رسالت خودمان هستیم که عبادت است. هستی از ما نخواسته است که خودمان چشم‌انداز را محقق کنیم.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«ما أُريدُ مِنْهُمْ مِنْ رِزْقٍ وَما أُريدُ أَنْ يُطْعِمُونِ»؛ و پس از آن: «إِنَّ اللَّهَ هُوَ الرَّزّاقُ ذُو الْقُوَّةِ الْمَتينُ» [ذاریات، ۵۷–۵۸؛ بازنویسی بر اساس ارجاع]. این آیه را گاهی بالای مغازه‌ها می‌زنند: روزی دست خداست؛ ولی هزار کار دیگر در مغازه می‌کنند که انگار روزی دست خدا نیست! حالا قبول که آمده‌ایم در این دنیا عبادت کنیم؛ چه کار کنیم که عبادت باشد؟ برای پاسخ، از تعبیرهای خود قرآن استفاده کنیم.</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عبادت عام: بندگیِ تکوینیِ همهٔ هستی</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یک عبادت به معنای عام داریم؛ یک عبادت کلی. سورهٔ مریم، آیهٔ ۹۳، صفحهٔ ۳۱۱: می‌گوید همه بنده‌اند. کسی نیست که از این بندگی بیرون باشد. پس عبادتی عام داریم که کل هستی در آن خدا را پرستش می‌کند و ما هم در آن قرار داریم. آیا هدف خلقت، همین عبادتی است که به هر حال همه انجام می‌دهند؟ آیهٔ دیگری را هم دربارهٔ این عبادت عام ببینیم.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آیهٔ ۸۳ سورهٔ آل‌عمران: «أَفَغَيْرَ دينِ اللَّهِ يَبْغُونَ وَلَهُ أَسْلَمَ مَنْ فِي السَّماواتِ وَالْأَرْضِ طَوْعًا وَكَرْهًا وَإِلَيْهِ يُرْجَعُونَ». این هم عبادت عام است؛ اسلام به معنای عام. حضرت آدم، ابراهیم، یعقوب، یوسف، موسی و عیسی، همه مسلمان بوده‌اند. حضرت یعقوب هم به فرزندانش می‌گوید: «فَلا تَمُوتُنَّ إِلّا وَأَنْتُمْ مُسْلِمُونَ» [بقره، ۱۳۲؛ بازنویسی نقل عربی]. یعنی جز در حال مسلمانی نمیرید.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پس اسلام به معنای کلی مطرح است: «إِنَّ الدّينَ عِنْدَ اللَّهِ الْإِسْلامُ»؛ یعنی تسلیم. اینجا دربارهٔ کل قرآن صحبت می‌کنیم، نه صرفاً فقه؛ خط‌کشی فقهی در نظر نداریم. در این معنا، یهودی و مسیحی و پیرو ادیان ابراهیمی هم می‌تواند مسلمان باشد؛ زرتشتی و برخی ستاره‌پرستان هم ممکن است چنین باشند. در معنای کلی، گناهکاران هم عبدند. کمی جلوتر درباره‌اش صحبت می‌کنیم. نکته این است که همه عبد و در برابر امر خدا تسلیم‌اند.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منتها بعضی از روی میل و رغبت، «طَوْعًا»، و بعضی از روی اجبار، «كَرْهًا»، تسلیم‌اند. روایتی از امام صادق نقل می‌شود که اصحاب یمین این تسلیم را از روی رغبت و اصحاب شمال از روی اجبار پذیرفته‌اند. [انتساب و متن دقیق روایت نیازمند بررسی است.] یعنی نمی‌توانند از قواعد الهی و ساختاری که خدا در دنیا چیده، سر بپیچند. در این معنا مسلمان، تسلیم و عبدند؛ اما عبادتشان از روی اجبار است. مثلاً ناچارند قانون جاذبه را رعایت کنند.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قوانین فیزیک و شیمی و قواعد هستی‌شناختی را هم ناچارند رعایت کنند؛ حتی اگر بخواهند گناه کنند، در چارچوب همین قواعد گناه می‌کنند. این عبادت عام با تعبیرهای مختلف آمده است: عبدبودن و تسلیم‌بودن. کمی جلوتر برویم: نماز. سورهٔ نور، آیهٔ ۴۱، صفحهٔ ۳۵۵؛ همه خدا را تسبیح می‌گویند: میز و صندلی، پرندگان، چرندگان، خزندگان و انسان‌ها. [بخشی از عبارتِ فهرست‌کردن موجودات در متن ماشینی روشن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«وَالطَّيْرُ صافّاتٍ كُلٌّ قَدْ عَلِمَ صَلاتَهُ وَتَسْبيحَهُ ... وَاللَّهُ عَليمٌ بِما يَفْعَلُونَ». یعنی هر کدام نماز و تسبیح خود را می‌دانند. این هم همان عبادت عام است؛ در آیهٔ قبلی با تعبیر تسلیم و اینجا با عنوان تسبیح و نماز. پس عبادت، اسلام، تسبیح و نماز را داریم؛ سجده را هم ببینیم. صفحهٔ ۲۵۱، سورهٔ رعد، آیهٔ ۱۵. اگر خواندن عبارت عربی دشوار است، ترجمه‌اش را بخوانید.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همهٔ آنچه در زمین و آسمان است، در برابر خدا به سجده می‌افتند؛ باز «طَوْعًا وَكَرْهًا»، از روی میل و رغبت یا از روی اجبار؛ و «وَظِلالُهُمْ بِالْغُدُوِّ وَالْآصالِ». این هم نکتهٔ سجده است. حالا نکتهٔ جالب‌تر: دربارهٔ گناهکاران می‌پرسیم چطور عبدند؟ خود خدا آنان را با عنوان «عباد» خطاب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سورهٔ زمر، آیهٔ ۵۳، صفحهٔ ۴۶۴: «قُلْ يا عِبادِيَ الَّذينَ أَسْرَفُوا عَلى أَنْفُسِهِمْ ...». اینها گناهکارند و به تعبیر خودمانی، حسابی شلنگ‌تخته انداخته‌اند؛ اما خدا می‌گوید بندگان من‌اند. نمی‌توانند از حکومت الهی سر بپیچند و محکومِ تکوینیِ خدا هستند. این عبادت عام است. آیا هدف خلقت همین است که به هر حال انجام می‌دهیم؟ این درست به نظر نمی‌رسد؛ چون چه کاری بکنیم و چه نکنیم، در مسیر باشیم یا خلافش، این بندگی به خودی خود مأموریت ما را مشخص نمی‌کند.</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عبادت خاص‌الخاص و جایگاه نماز و ولایت</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گام اول دربارهٔ عبادت بود. نوع دیگری هم داریم که به آن «عبادت خاص‌الخاص» می‌گویند؛ یعنی ویژهٔ ویژه. [گوینده ظاهراً به یک نمودار اشاره می‌کند.] اینها عبادت‌هایی‌اند که برایشان دستور وجود دارد. برای آن عبادت عام، دستور جداگانه‌ای نداریم؛ همه عبدند. اما در عبادت خاص‌الخاص، برای انسان دستور وجود دارد؛ بعضی شرایط به‌دقت مشخص شده و بعضی فقط چارچوبشان معین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مهم‌ترین این عبادت‌ها چیست؟ چند مورد بگوییم.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اطاعت، نماز، روزه، حج؛ فروع دین.</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[چند عبارت در گفت‌وگوی کوتاه حاضران از متن ماشینی قابل بازیابی نیست.] می‌خواهم روی تعبیر «فروع دین» کمی مکث کنم و آن را باز کنیم؛ صرفِ ظاهر این اعمال، به‌تنهایی روشن نمی‌کند شخص واقعاً مؤمن است یا نه.</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دربارهٔ تعبیر فروع دین: روایتی داریم با این مضمون که اسلام بر پنج چیز بنا شده است: نماز، زکات، روزه، حج و ولایت؛ و بر هیچ چیز مانند ولایت تأکید نشده است. [متن دقیق و مأخذ روایت در فایل موجود مشخص نیست؛ عبارت عربیِ مخدوش، نقل قطعی نشده است.] گوینده این پنج مورد را «اصول دین» می‌نامد. در نظام آموزشی ما گفته‌اند اصول دین توحید، معاد، نبوت و مانند آن است و این اعمال را فروع دین می‌دانند؛ اما در تربیت دینی مورد نظر این بحث، اینها حاشیه نیستند.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مثلاً اگر امام صادق می‌خواست کسی را دیندار کند، آیا می‌گفت بنشین تا اول برهان علیت و نظم را توضیح بدهم، سپس خدا را بپذیر، بعد معاد و نبوت را؟ این استدلال‌ها در مواجهه با بیرون از دین، با نادینداران یا کافران، مطرح شده‌اند. گوینده می‌گوید اصولِ تربیت دینی در این بحث، همان پنج مورد و رعایت آنهاست. خدا در قرآن خود را پیش‌فرض می‌گیرد.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 ادامهٔ این دیدگاه گفته می‌شود قرآن استدلال مستقلی با عنوان «من هستم» عرضه نمی‌کند؛ با اشاره به تعبیر «أَفِي اللَّهِ شَكٌّ ...» می‌پرسد مگر در خدا شکی هست؟ گوینده می‌گوید همین که سخن گفته، وجودش را مفروض گرفته و از پسِ آن آغاز کرده است. [بخشی از عبارت و سؤال بعدی حاضران روشن نیست.] حالا نقطهٔ آغاز ما کجاست و چه چیزی ولایت را محقق می‌کند؟ [وقفهٔ کوتاه برای بررسی صدا.]</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الان صدا هست؟ بله. نتیجهٔ اجرای آن چهار مورد در ولایت تحقق پیدا می‌کند؛ یعنی ولی‌شدن. مضمون همان روایت این است که بر ولایت تأکید ویژه شده است. باید نمازِ ولیّ خدا را بخوانی، روزهٔ ولیّ خدا را بگیری، حجِ ولیّ خدا بروی و زکاتِ ولیّ خدا بدهی؛ یعنی خودت ولی شوی و جزو اولیای خدا باشی. کمی جلوتر بیشتر درباره‌اش صحبت می‌کنیم. ما نماز می‌خوانیم و امیرالمؤمنین هم نماز می‌خواند.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قاعدتاً تفاوت در صورت ظاهر نیست؛ مثلاً نماز چهار رکعت، سجده و رکوع دارد. ولی آن نماز، نمازِ ولیّ خداست و ممکن است نماز من، نمازِ عدوّ خدا باشد. [گفت‌وگوی کوتاه دربارهٔ معنای عام نماز.] روایتی هم نقل می‌شود که مضمونش این است: در میان مردم ولیّ خدا و در پنهانِ خودت دشمن خدا نباش. گوینده می‌گوید جملهٔ دقیق روایت را به یاد ندارد.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روایت را از آقا مجتبی تهرانی هم در ذهن دارم. حالا سورهٔ طه، آیهٔ ۱۳۰، صفحهٔ ۳۲۱ را ببینیم؛ دستور عبادت خاص‌الخاص و اجزایش مشخص شده است: «فَاصْبِرْ عَلى ما يَقُولُونَ وَسَبِّحْ بِحَمْدِ رَبِّكَ قَبْلَ طُلُوعِ الشَّمْسِ وَقَبْلَ غُرُوبِها وَمِنْ آناءِ اللَّيْلِ فَسَبِّحْ وَأَطْرافَ النَّهارِ لَعَلَّكَ تَرْضى». اگر می‌خواهی به رضایت برسی، باید از اینجا شروع کنی. نقطهٔ اتصال مهم برای آغاز رسیدن به رضایت، نماز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ممکن است بگویی در زندگی نمی‌دانم چه کار کنم، خودم را گم کرده‌ام و جایی هم ندارم. می‌گوییم فعلاً یک عمل هست که مطمئنی در آن ساعت و موقعیت، بهترین کاری است که می‌توانی انجام بدهی: «حَيَّ عَلى خَيْرِ الْعَمَلِ». فعلاً همین را انجام بده. این نقطهٔ تغییر و شروع، نماز است. اهمیتش این است که حتی اگر نسبت به خیلی چیزها ناآگاهی، اینجا می‌تواند نقطهٔ شروع خوبی باشد.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سورهٔ اسراء، آیهٔ ۷۸، صفحهٔ ۲۹۰: «أَقِمِ الصَّلاةَ لِدُلُوكِ الشَّمْسِ إِلى غَسَقِ اللَّيْلِ وَقُرْآنَ الْفَجْرِ إِنَّ قُرْآنَ الْفَجْرِ كانَ مَشْهُودًا». آنجا از رضایت درونی گفتیم؛ اینجا در ادامهٔ بحث، از ستایش بیرونی هم سخن به میان می‌آید: دیگران بگویند عجب آدم درستی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بخش به نافلهٔ شب مربوط می‌شود [اشاره به ادامهٔ آیات اسراء؛ اتصال جمله‌ها در متن ماشینی مخدوش است]. آنجا رضایت درونی و اینجا تشویق و ستایش بیرونی مطرح است. سپس: «وَقُلْ رَبِّ أَدْخِلْني مُدْخَلَ صِدْقٍ وَأَخْرِجْني مُخْرَجَ صِدْقٍ وَاجْعَلْ لي مِنْ لَدُنْكَ سُلْطانًا نَصيرًا» [اسراء، ۸۰]. برای هدایت زندگی، از چیزی شروع کنیم که می‌دانیم مهم‌ترین عامل اتصال ما به هستی و بهترین عمل در آن موقعیت است. همه می‌خواهیم بهترین عمل را انجام بدهیم؛ پس از دانستهٔ خودمان، یعنی نماز، شروع کنیم.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فرض کنید نماز صبح یا نماز شب را خوانده‌ایم؛ حالا چه؟ می‌گوید: خدایا مرا با صداقت و درستی به هر کاری وارد کن و با صداقت و درستی از آن خارج کن. این بی‌نظیر است؛ صادقانه و درست وارد کار اقتصادی، شغل یا روزمان شویم. خوب است ابتدای روز، مثلاً پس از نماز صبح، بگوییم: «رَبِّ أَدْخِلْني مُدْخَلَ صِدْقٍ».</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خدایا مرا به این روز با راستی و درستی وارد کن و با راستی و درستی از آن بیرون ببر. مهم‌تر اینکه برای این آمدن‌ها و رفتن‌ها از طرف خودت دلیلی بفرست که یاریگر من باشد. می‌خواهم وارد کاری شوم؛ از نزد تو، «مِنْ لَدُنْكَ»، آگاهی و دلیلی برسد که راهنمایم باشد.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و یاریم کند که درست وارد شوم و درست خارج شوم. حالا سورهٔ مؤمنون، آیهٔ ۹، صفحهٔ ۳۴۲، از ویژگی‌های مؤمنان: «وَالَّذينَ هُمْ عَلى صَلَواتِهِمْ يُحافِظُونَ». اینها مراقب نمازهای خود هستند. نماز چه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پنج بار در طول روز، انگار مُحرِم می‌شوم و همهٔ آنچه داشته‌ام را کنار می‌گذارم؛ لحظه‌ای همه چیز می‌ایستد و دوباره ارتباطم را با هستی برقرار می‌کنم. اینها مراقب‌اند هر بار این ارتباط برقرار باشد. به نظر شما باید بیشتر مراقب کدام نماز بود؟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نماز وسطی؟ نماز صبح؟</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قبلاً گفته بودیم مهم‌ترینش ظهر است؛ پاسخ سؤال شما هم همین بود.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سورهٔ بقره، آیهٔ ۲۳۸، صفحهٔ ۳۹: «حافِظُوا عَلَى الصَّلَواتِ وَالصَّلاةِ الْوُسْطى وَقُومُوا لِلَّهِ قانِتينَ». [نام مخاطب در متن ماشینی روشن نیست.] اشاره می‌شود که نشستن برای نماز وسط ظهر دشوار است؛ اما همین نماز، تنظیم‌کننده است. باید از یک جای محکم و تنظیم‌کننده شروع کنیم. در زندگی و در عبادت، نماز چنین نقشی دارد و همه چیز را تنظیم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از میان این پنج نماز، گوینده نماز ظهر را تنظیم‌کننده‌تر می‌داند؛ اگر آن را سر وقت بخوانی، بقیه هم کوک می‌شوند. این نمونه‌ای از عبادتی است که جزئیاتش مشخص است و به لحاظ تشریعی باید انجامش بدهیم. به لحاظ تکوینی، هر کاری کنیم در آن عبادت عام هستیم و ممکن است به آن آگاه نباشیم. حالا که در سورهٔ بقره هستیم، چند صفحه عقب‌تر برویم: روزه.</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روزه، زکات، حج و دستورهای تشریعی</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بقره، آیهٔ ۱۸۳: «يا أَيُّهَا الَّذينَ آمَنُوا كُتِبَ عَلَيْكُمُ الصِّيامُ كَما كُتِبَ عَلَى الَّذينَ مِنْ قَبْلِكُمْ لَعَلَّكُمْ تَتَّقُونَ». مشخص می‌گوید باید روزه بگیرید. یکی از مهم‌ترین ویژگی‌های روزه، تقواست. روزه نوعی انجام‌ندادن است. شاید زمانی بیشتر درباره‌اش صحبت کنیم: پیش از آنکه کاری درست انجام بدهیم، باید بسیاری از کارها را انجام ندهیم. پیشرفت زندگی همیشه به انجام‌دادن یک کار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خیلی وقت‌ها پیشرفت زندگی در انجام‌ندادن بسیاری از کارهاست. دربارهٔ زکات هم در همین سورهٔ بقره، مثلاً آیهٔ ۴۳، از همان آیات آغازین می‌خوانیم: «وَأَقيمُوا الصَّلاةَ وَآتُوا الزَّكاةَ». [شمار دفعات تکرار این مضمون در گفتار مطرح شده، اما اینجا تأیید نشده است.] باید زکات بدهیم. در سورهٔ توبه، آیهٔ ۶۰، موارد مصرفش آمده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پس در عبادت خاص‌الخاص، مشخص است باید چه کرد. سورهٔ توبه، آیهٔ ۶۰، صفحهٔ ۱۹۶، برای صدقات هشت مصرف بیان می‌کند: فقرا، مساکین، عاملان آن، مؤلفة‌القلوب، آزادکردن بردگان، بدهکاران، راه خدا و درراه‌ماندگان. پایان آیه: «فَريضَةً مِنَ اللَّهِ وَاللَّهُ عَليمٌ حَكيمٌ». این موارد روشن و مدون‌اند. در سورهٔ مؤمنون نیز از ویژگی‌های مؤمنان آمده است: «وَالَّذينَ هُمْ لِلزَّكاةِ فاعِلُونَ».</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دربارهٔ حج هم آیات مشخصی هست؛ مثلاً سورهٔ بقره: «الْحَجُّ أَشْهُرٌ مَعْلُوماتٌ ... فَلا رَفَثَ وَلا فُسُوقَ وَلا جِدالَ فِي الْحَجِّ ...» [بقره، ۱۹۷؛ نقلِ بخش‌های قابل تشخیص]. توضیح می‌دهد چه باید کرد. یا سورهٔ حج، آیهٔ ۲۷، صفحهٔ ۳۳۵؛ دعوت حضرت ابراهیم به حج، برای ابراهیمیان در طول تاریخ. پس نماز، روزه، حج و زکات، این چهار مورد را داریم.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دربارهٔ ولایت: ولایت در این بحث، فعلِ انجام‌دادنی نیست؛ «بودن» است. این اعمال انجام‌دادنی‌اند و آن «بودن»، ولایت است. چشم‌انداز را چه کسی محقق می‌کند؟ «إِنَّ اللَّهَ هُوَ الرَّزّاقُ ذُو الْقُوَّةِ الْمَتينُ». بعضی عبادت‌ها هم چارچوب مشخص دارند؛ مثل ازدواج و حفظ دامن: «وَالَّذينَ هُمْ لِفُرُوجِهِمْ حافِظُونَ». شرایط و چارچوبی گفته شده، نه اینکه مثلاً چه کسی خانه بگیرد یا جهیزیه بیاورد.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اگر می‌خواهی ازدواج کنی، چارچوبش این است؛ اما جزئیاتی مثل اینکه اول پدر عروس یا پدر داماد چه کند، لزوماً مطرح نشده است. در مقابل، دربارهٔ روزه و زکات، دستورها دقیق‌تر و با جزئیات بیان شده‌اند. اینها نیز عبادت محسوب می‌شوند و در این بحث «عبادت خاص‌الخاص» نام دارند؛ دستور تشریعی دارند: ازدواج این‌گونه، نماز این‌گونه و روزه این‌گونه.</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عبادت خاص و عمل صالح</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حالا آیا فلسفهٔ خلقت ما همین‌هاست؟ گوینده با اشاره به علامه طباطبایی می‌گوید: نه؛ این همه فرشته نزد خدا عبادت می‌کنند، پس چرا انسان آفریده شده است؟ مقصودِ «وَما خَلَقْتُ الْجِنَّ وَالْإِنْسَ إِلّا لِيَعْبُدُونِ» را باید بیشتر بررسی کرد. سورهٔ بقره، آیهٔ ۳۰، صفحهٔ ۶: «وَإِذْ قالَ رَبُّكَ لِلْمَلائِكَةِ إِنّي جاعِلٌ فِي الْأَرْضِ خَليفَةً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می‌خواهم در زمین خلیفه‌ای قرار بدهم. فرشتگان می‌پرسند آیا کسی را قرار می‌دهی که فساد کند و خون بریزد؟ «وَنَحْنُ نُسَبِّحُ بِحَمْدِكَ وَنُقَدِّسُ لَكَ». همان تسبیح و عبادت عام را مطرح می‌کنند. پاسخ می‌رسد: «إِنّي أَعْلَمُ ما لا تَعْلَمُونَ». گوینده، با انتساب این برداشت به علامه، می‌گوید فلسفهٔ خلقت صرفاً آن عبادتِ یادشده نیست. پس آن عبادت چیست؟ [انتساب تفسیری نیازمند مراجعه به مأخذ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عبادتی است که اینجا «عبادت خاص» می‌نامیم؛ در چارچوب عبادت عام است، ولی دستورِ جزئی و ازپیش‌تعیین‌شده‌ای برایش نیامده است. بر اساس آگاهی از آغاز و انجام عالم، تشخیص می‌دهی کاری درست است و باید آن را انجام بدهی. هدف خلقت آن است. این نوع عبادت بارها در قرآن تکرار شده است؛ تقریباً هر چند صفحه به آن برمی‌خوریم.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اسم این عبادت خاص، «عمل صالح» است: «الَّذينَ آمَنُوا وَعَمِلُوا الصّالِحاتِ». یعنی بر اساس آگاهی از آغاز و انجام عالم، در این میان کاری انجام می‌دهند؛ عمل صالحی انجام می‌دهند. گوینده این عمل صالح را هدف خلقت می‌داند.</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ایمان، حقیقت واحد و وسعت مصداقی عمل صالح</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کمی دربارهٔ آگاهی از آغاز و انجام صحبت کنیم تا وسعت معنایی عمل صالح را بررسی کنیم. در قرآن با عبارت‌هایی مانند «مَنْ يَعْمَلْ ... مِنَ الصّالِحاتِ وَهُوَ مُؤْمِنٌ» و پیوند ایمان و عمل صالح، بسیار روبه‌رو می‌شویم. پس یک ایمان و یک عمل صالح داریم. فعلاً دربارهٔ ایمان صحبت می‌کنیم، چون عمل صالح بر آن مبتنی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[شمارهٔ سوره و آیه در متن ماشینی مخدوش شده است؛ فهرست بعدی با حج، آیهٔ ۱۷، تطابق دارد و این تطبیق، یادداشت ویراستار است.] «إِنَّ الَّذينَ آمَنُوا»؛ یعنی همین مسلمان‌ها. «وَالَّذينَ هادُوا»؛ یهودیان. صابئان که دربارهٔ هویتشان تعبیرهای مختلفی هست؛ نصارا، مسیحیان؛ مجوس، زرتشتیان؛ و «الَّذينَ أَشْرَكُوا». گوینده اینها را در بحث خود در نسبت با مراتب ایمان مطرح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می‌گوید خدا روز قیامت میان اینها داوری می‌کند؛ گوینده از اینجا نتیجه می‌گیرد که داوری نهایی در دنیا کار ما نیست. حالا سورهٔ بقره، آیهٔ ۶۲، صفحهٔ ۱۰؛ آیهٔ دشواری است: «إِنَّ الَّذينَ آمَنُوا وَالَّذينَ هادُوا وَالنَّصارى وَالصّابِئينَ ... مَنْ آمَنَ بِاللَّهِ وَالْيَوْمِ الْآخِرِ ...». از میان اهل ایمان، یهودیان، مسیحیان و صابئان، هر کس به خدا و روز واپسین ایمان داشته باشد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یعنی از آغاز و انجام عالم آگاه باشد و «وَعَمِلَ صالِحًا»؛ کار خوب و شایسته‌ای انجام بدهد؛ «فَلَهُمْ أَجْرُهُمْ عِنْدَ رَبِّهِمْ وَلا خَوْفٌ عَلَيْهِمْ وَلا هُمْ يَحْزَنُونَ». می‌گوید نگران نباشند. اگر دریافتی از آغاز و انجام عالم دارند و عمل مثبت انجام می‌دهند، نگران نباشند. این مضمون در سورهٔ مائده، آیهٔ ۶۹، صفحهٔ ۱۱۹ هم تکرار می‌شود.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از میان یهودیان و مسیحیان هم کسی که ایمان و عمل صالح داشته باشد، نگران نباشد. ممکن است خط‌کش فقهی داشته باشیم و بگوییم این مسلمان، آن مسیحی و دیگری یهودی است؛ اما گوینده می‌گوید در حقیقت عالم، این خط‌کشی به همان صورت وجود ندارد. مقصودش این نیست که همه حق‌اند یا چند حقیقت داریم؛ تصریح می‌کند که منظور پلورالیسم نیست. حقیقت واحد است و هر کس به میزانی از آن دریافت دارد.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هر کس به میزان دریافت خود از آن حقیقت واحد و عمل صالحِ متناسب با آن سنجیده می‌شود: «لا خَوْفٌ عَلَيْهِمْ وَلا هُمْ يَحْزَنُونَ». سورهٔ نساء، صفحهٔ ۹۸: «لَيْسَ بِأَمانِيِّكُمْ وَلا أَمانِيِّ أَهْلِ الْكِتابِ مَنْ يَعْمَلْ سُوءًا يُجْزَ بِهِ وَلا يَجِدْ لَهُ مِنْ دُونِ اللَّهِ وَلِيًّا وَلا نَصيرًا» [نساء، ۱۲۳]. صرف اینکه نام «الَّذينَ آمَنُوا» روی ماست، به این معنا نیست که وضعمان خوب و بی‌مسئله است. وقتی پرده‌ها کنار برود، حقیقت آشکار می‌شود.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چه‌بسا مسلمان‌هایی که از مسیحی‌ها عقب‌ترند و مسیحی‌هایی که از مسلمان‌ها جلوترند. شاخص چیست؟ ایمان و عمل صالح. ایمان را هم پیش‌تر با آگاهی از آغاز و انجام عالم توضیح دادیم. در این میان، انسان کاری انجام می‌دهد. این بحث، به ایمان وسعت معنایی و به عمل صالح وسعت مصداقی می‌دهد؛ همان عبادتی که فلسفهٔ وجودی آن فرد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موضوع فقط این نیست که من مسلمانم یا مسیحی یا یهودی. این راهبردِ عمل صالح برای همهٔ انسان‌های عالم است؛ بر اساس حقیقتی که دریافت می‌کنند. ما نمی‌توانیم دربارهٔ سرنوشتشان قضاوت کنیم، چون عمل صالح هر کس منحصر به فرد است. مثلاً می‌پرسند ادیسون به بهشت می‌رود یا جهنم؟ شاید کارش همان عمل صالح او بوده باشد.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شاید بر اساس دریافتی از آغاز و انجام عالم تشخیص داده باشد این بهترین کاری است که می‌تواند انجام بدهد. دربارهٔ مواضع آیت‌الله خویی و آیت‌الله خمینی در قبال جنگ هم مثال زده می‌شود [جزئیات جمله در متن ماشینی مخدوش است]. عمل صالح هر کس منحصر به فرد است. هر کس بر اساس تشخیص و میزان آگاهی خود، عملی را وجههٔ همت قرار می‌دهد. اگر ایمان و عمل صالح باشد، «فَلا خَوْفٌ عَلَيْهِمْ وَلا هُمْ يَحْزَنُونَ».</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داوری دربارهٔ دیگران و مثال پیامبران</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 سورهٔ مائده، صفحهٔ ۱۲۶، آیه‌ای هست: خدا در قیامت پیامبران را جمع می‌کند و می‌پرسد: «ماذا أُجِبْتُمْ»؛ چه پاسخی دریافت کردید؟ شما را فرستادیم تا مردم را دعوت کنید که خدا هست و کار خوب و عمل صالح انجام بدهند؛ مردم چه پاسخی دادند؟ گوینده برای مقایسه می‌گوید اگر من بودم، شاید از میزان توجه ظاهری حاضران حرف می‌زدم: فلانی خوب گوش می‌داد و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مثلاً یکی شلوغ می‌کرد، دیگری توجه نمی‌کرد و یکی هم خوب گوش می‌داد و پاسخ‌ها را می‌فرستاد؛ اینها تلقی‌های خود من است. [نام بعضی حاضران و اعدادِ یک مثال در متن ماشینی روشن نیست.] اما جواب پیامبران چیست؟ «قالُوا لا عِلْمَ لَنا إِنَّكَ أَنْتَ عَلّامُ الْغُيُوبِ» [مائده، ۱۰۹]. ما چه می‌دانیم؟ تو به غیب مردم آگاهی.</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ما نمی‌توانیم دربارهٔ دیگران آن‌گونه قضاوت کنیم. شاخص‌ها را باید دربارهٔ خودمان به کار ببریم، نه اینکه به محض یادگرفتن، آنها را روی دیگران بگذاریم. ایمان و عمل صالح، شاخص‌هایی نیستند که با آنها سرنوشت دیگران را بسنجیم؛ باید خودمان را بسنجیم. وقتی همهٔ رسولان جمع می‌شوند، پیامبر اسلام هم در میان آنهاست. [مثالی دربارهٔ یک شخص در متن ماشینی نامفهوم است.] پاسخ همان است که خودت می‌دانی.</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 ادامه خدا از حضرت عیسی می‌پرسد: آیا تو به مردم گفتی خودت و مادرت را بپرستند؟ «أَأَنْتَ قُلْتَ لِلنّاسِ اتَّخِذُوني وَأُمِّيَ إِلهَيْنِ مِنْ دُونِ اللَّهِ ...» [مائده، ۱۱۶]. حضرت عیسی می‌گوید: «سُبْحانَكَ ...»؛ این حرف حقی نیست که من بگویم. اگر گفته بودم تو می‌دانستی. سپس توضیح می‌دهد آنچه به آنان گفتم، همان چیزی بود که تو دستور دادی.</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گفتم خدا را بپرستید. تا وقتی در میانشان بودم، بر آنان گواه بودم؛ پس از آنکه مرا برگرفتی، خودت مراقبشان بودی و بر همه چیز گواهی. [تعبیر «معراج» در گفتار آمده است؛ این واژه جایگزین متن آیه نشده است.] اگر عذابشان کنی، بندگان تواند؛ اگر ببخشی هم اختیار با توست. گوینده با مثال طنزآمیز می‌گوید ما شاید از کسی گلایه کنیم که مرا اذیت کرده و او را نبخش؛ اما پاسخ حضرت عیسی این است که پس از رفتنم، من چه می‌دانم؟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مثلاً می‌پرسند سعدی شیعه بوده یا نه؟ ما چه می‌دانیم؟ مگر لحظهٔ مرگش آنجا بودیم؟ دربارهٔ حافظ هم همین‌طور. نمی‌دانیم. اگر خدا بخواهد عذاب کند، بندهٔ خودش است؛ اگر بخواهد ببخشد، باز اختیار با اوست. این بحثِ عمل صالح و رتبهٔ ایمانی در سراسر هستی جریان دارد؛ هر کس می‌تواند به میزان آگاهی از حقیقتِ مبدأ و معاد، عمل صالحی انجام بدهد.</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نمونه‌های اهل کتاب</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اجازهٔ قضاوت نهایی نداریم. نمونه‌ای دربارهٔ یهودیان و اهل کتاب را در صفحهٔ ۶۴ ببینیم. در آیات، از آزار، فسق، کفر به آیات خدا و کشتن نارواى پیامبران سخن گفته می‌شود. آیهٔ ۱۱۲ به این رفتارها می‌پردازد. اما نکتهٔ کلیدی، ادامهٔ همان آیات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می‌گوید: «لَيْسُوا سَواءً»؛ همه را با یک چوب نرانید. «مِنْ أَهْلِ الْكِتابِ أُمَّةٌ قائِمَةٌ يَتْلُونَ آياتِ اللَّهِ آناءَ اللَّيْلِ وَهُمْ يَسْجُدُونَ» [آل‌عمران، ۱۱۳]. در میان آنها هم آدم‌های شایسته هستند. به خدا و روز آخر ایمان دارند، امر به معروف می‌کنند و در خیرات شتاب دارند: «وَأُولئِكَ مِنَ الصّالِحينَ». [سؤال یکی از حاضران دربارهٔ مسلمان‌شدن این گروه، در متن ماشینی ناقص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 پاسخ، میان مسلمانی به معنای کلی و نامِ فقهی تمایز گذاشته می‌شود. ممکن است توضیحِ داخل پرانتزِ یک ترجمه چنین برداشتی ایجاد کرده باشد. آیه دربارهٔ اهل کتاب صحبت می‌کند و می‌گوید در میان آنها چنین کسانی هستند. در معنای حقیقی مسلمان‌اند، نه لزوماً در نام و وضعیت ظاهری. گوینده می‌گوید آیات قرآن محدود به زمان و مکان نیستند؛ همین الان هم می‌توانند کسانی باشند که شب‌ها آیات خدا را می‌خوانند و سجده می‌کنند.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ممکن است پرسیده شود اگر پیام اسلام به او برسد و با آگاهی نپذیرد چه؟ پاسخ این است که این داوری کار من نیست. من نباید خودم را در موضع داوری نهایی دربارهٔ او قرار بدهم. او به میزان دریافتی که از حقیقت داشته، تسلیم بوده و عمل صالح انجام داده است؛ لازم نیست من به او برچسب بزنم. او می‌تواند با هستی ارتباطی حقیقی داشته باشد.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اینکه چرا مسلمان نشدی و به پیامبر اسلام ایمان نیاوردی، داوری‌اش با خدا و در قیامت است. بندهٔ اوست؛ می‌تواند ببخشد یا عذاب کند. چرا کاری را که داوری نهایی‌اش با خداست، ما در دنیا انجام بدهیم؟ حالا دربارهٔ مسیحیان، صفحهٔ ۱۲۱ را ببینیم. گوینده میان رتبه‌بندی اعتقادیِ مورد بحث خود و رابطهٔ اجتماعی تمایز می‌گذارد. [ترتیب ادعایی گروه‌ها در گفتار، تفسیر گوینده است و حکم افزودهٔ ویراستار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در روابط اجتماعی، آیه ابتدا از دشمنی یهودیان و سپس مشرکان با مؤمنان سخن می‌گوید؛ اما در مقابل، از نزدیکیِ مودتِ کسانی که می‌گویند مسیحی‌اند یاد می‌کند. چرا در اینجا مسیحیان چنین وصفی دارند؟ [اشاره به مائده، ۸۲.]</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چون در میانشان کشیشان و راهبان هستند و تکبر نمی‌ورزند. وقتی آیات الهی را می‌شنوند، از آنچه از حق شناخته‌اند، اشک در چشمشان جمع می‌شود [اشاره به مائده، ۸۳]. حقیقت واحد است؛ اما هر کس به اندازهٔ دریافتش از آن، متأثر می‌شود. این هم نمونهٔ مسیحیان. در مجموع یک حقیقت واحد وجود دارد و هر کس به میزانی که آن را می‌شناسد و تسلیم می‌شود، در این معنای عام مسلمان است.</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معیار حرکت و توسعهٔ فردی</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و متناسب با آن تسلیم، عملی انجام می‌دهد که عمل صالح و مأموریت خودش است؛ این همان عبادتی است که مکلف به انجامش هستیم. در این بحث، تکلیف ما در وسعِ نفس خودمان و توسعهٔ فردیِ خودمان مطرح می‌شود. پس اول، نمی‌توانیم داوری نهایی کنیم؛ دوم، مهم این است چقدر حرکت کرده‌ایم. یکی از حاضران هم گفته بود نقاط آغاز مسابقه یکسان نیست: یکی آیت‌الله‌زاده است و دیگری زنازاده؛ نقاط پایان هم لزوماً یکسان نیست. میزان حرکت ملاک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نمی‌پرسند فقط از کجا شروع کردی یا به کجا رسیدی؛ می‌پرسند چقدر حرکت کردی. ممکن است یکی سه واحد و دیگری ده واحد حرکت کرده باشد و دومی بالاتر باشد. عدد صرفاً برای توضیح است، نه اینکه این سنجش عددی باشد. مثلاً به کسی برچسب تندخو می‌زنیم، اما نمی‌دانیم شاید خیلی روی خودش کار کرده و حالا به اینجا رسیده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از وضع قبلی‌اش چه می‌دانستی که الان برچسب می‌زنی؟ شاید در مسیر توسعهٔ خودش بسیار پیش آمده باشد. پس میزان حرکت مهم است. سپس به سورهٔ یس، آیهٔ ۶۱، صفحهٔ ۴۴۴ اشاره می‌شود؛ عبادت در آن «صراط مستقیم» خوانده می‌شود. صراط مستقیم یعنی چه؟ [در متن ماشینی، عبارت آغاز آیهٔ ۶۰ با شمارهٔ ۶۱ درهم آمیخته بود.]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یعنی مسئله فقط رسیدن به یک منزل نیست؛ منزلی که بگویی از جایی شروع و آنجا تمام کردم. هیچ منزلی نباید تو را از حرکت راضی و متوقف کند. ارزیابی بر اساس این است که در راهی و حرکت می‌کنی: چقدر از آنچه بودی حرکت کرده‌ای و چه شده‌ای؟ استعدادی بالقوه در تو بالفعل شده است؛ این بالفعل‌شدن و حرکت مهم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از خدا می‌خواهیم ما را به راه هدایت کند: «اهْدِنَا الصِّراطَ الْمُسْتَقيمَ». نمی‌گوییم صرفاً ما را به یک منزل یا هدف برسان. این راه، همان مأموریت است؛ مأموریت همان عبادت و عبادت همان عمل صالح. تا اینجا کافی است؛ باید کمی دم بکشد و درباره‌اش فکر کنیم.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آیا کسانی که بیشتر در معرض دریافت حقیقت‌اند، مسئولیت بیشتری هم دارند؟</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پرسش‌ها، مسئولیتِ دانستن و مصداق‌های زندگی</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بله، دقیقاً. مثلاً دربارهٔ بعضی دعاها و اعمال می‌گویند این کار و آن کار را انجام بده. گاهی می‌گویم یکی از نکته‌ها این است که اگر ندانی، مسئولیتی از این دانستن نداری؛ اما وقتی می‌دانی، دیگر نمی‌توانی به دانایی خود بی‌اعتنا باشی. [مثال دقیقِ یک عمل یا چله‌نشینی در متن ماشینی ناقص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وقتی از حقیقت بیشتر دریافت می‌کنی و در معرض آن هستی، باید بیشتر تلاش کنی. گاهی گفته می‌شود تهران با این همه امکانات و آگاهی، دیگر مستضعف فکری ندارد. اما باور کنید در همین تهران هم کسی هست که اسلام به او نرسیده؛ یعنی از همین اسلامی که درباره‌اش حرف می‌زنیم درکی ندارد و نمی‌فهمد موضوع بحث 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حتی میان دوستان خودمان. آن‌قدر در ملغمه‌ای هستیم که وقتی از مستضعف فکری صحبت می‌شود، فقط کسی را در روستایی در آفریقا و قبیله‌ای دورافتاده تصور می‌کنیم که به اسلام دسترسی نداشته است. شاید همان فرد در معنای حقیقی مسلمان‌تر از ما باشد. اگر شاخص‌های حقیقت را بگذاری، شاید او از ما جلوتر باشد و ما اینجا عقب‌تر باشیم. [تعبیر تقلیدیِ گفتاری در مثال قبیله، معنای روشنی برای بازنویسی ندارد.]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شاخصِ حقیقت، چیزهای زیادی را تغییر می‌دهد و انسان را در برابر انسان و هستی متواضع می‌کند. نگاه قرآنی ما را به این تواضع می‌رساند؛ در مقابلِ نگاهی که فقط می‌گوید آمده‌ایم انقلاب را صادر کنیم و همه را به صراط مستقیم هدایت کنیم. اول باید خودمان به صراط مستقیم هدایت شویم.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خط‌کش فقهی را انکار نمی‌کنم؛ جایی شبیه علم حقوق، برای تعیین ضوابط لازم است. اما گوینده با اشاره به حدود ششصد و خرده‌ای آیهٔ احکام در برابر مجموعهٔ آیات قرآن، می‌گوید نگاه قرآنی وسیع‌تر است. [این شمارش در این بازبینی مستقلاً بررسی نشده است.] پیش از آنکه فقط احکام شرعی را بشناسیم، باید دیندار باشیم؛ بحث دربارهٔ محتوای دینداری است. به آیه‌ای با مضمونِ نرسیدن به یک‌دهمِ آنچه داده شده هم اشاره می‌شود [ارجاع دقیق در گفتار روشن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داوری نهایی کار خدا در قیامت است؛ شاید بخواهد خیلی‌ها را ببخشد. اگر بخواهد حتی آن خوانندهٔ آمریکایی را ببخشد، به من چه ربطی دارد که مانع شوم؟ [بخش اتصال جمله‌ها در متن ماشینی مخدوش است.] یکی از حاضران برای تأیید اینکه ممکن است پیام دین در همین تهران هم درست نرسیده باشد، مثالی از کلاس هنر می‌زند؛ هنر از محتوا می‌آید.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از این رو بسیاری از هنرها از دین‌ها بیرون می‌آیند. در کلاسی، هنر و مسیحیت را بررسی می‌کردیم. یکی از دانشجویان پرسید فرق مسیح با عیسی چیست؛ نمی‌دانست یک نفرند. استادمان هم که دکترای فلسفه از سوربن داشت و استاد توانمندی بود، هنگام توضیح هنر مسیحی از به‌صلیب‌کشیده‌شدن و مرگ عیسی سخن می‌گفت.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یکی از حاضران می‌گوید استاد از برداشت اسلامی دربارهٔ این واقعه آگاه نبود و به جایگزین‌شدن فردی دیگر اشاره می‌کند. [این نظرِ نقل‌شده از حاضر در جلسه است؛ هویت آن فرد و صحت این تفسیر در این ویرایش تأیید نشده است.] هدفِ مثال، تأییدِ وجود چنین فاصله‌ای در آگاهی جامعه است. گوینده می‌گوید خودم را با شاخص‌های حقیقی لزوماً آدم خوبی نمی‌دانم؛ شاید با شاخص فقهی متشرع به نظر بیایم، اما وقتی حقیقت آشکار شود، خیلی چیزها عوض می‌شود. این همان وسعت معنایی ایمان و وسعت مصداقی عمل صالح است.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ممکن است عمل صالح کسی واقعاً داشتن یک پیتزافروشی کنار میدان جمهوری باشد. چون زبان دینی ما قدیمی است، شاید مصداق امروز را درنیابیم. دربارهٔ کشاورز یا قصاب هم مثال می‌زند که ممکن است در حقیقت، هم‌ردیف پیامبر یا همراه موسی باشد. [مأخذ این مثال‌ها در فایل مشخص نیست.] عمل صالح این‌قدر وسعت مصداقی دارد، چون ایمان آن وسعت معنایی را دارد. اگر این را درک کنیم، دربارهٔ خودمان هم چنین امکانی را می‌بینیم.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کار و زندگی ما هم می‌تواند عمل صالح ما باشد؛ در ادامه بیشتر توضیح می‌دهیم.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مثالش که به ذهن من رسید، رجبعلی خیاط است؛ با اینکه خیاط بود، در کنار بزرگان از او یاد می‌شود.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ما با نوجوانانی کار می‌کردیم که در دبیرستان می‌گفتند می‌خواهیم طلبه شویم.</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می‌پرسیدیم چرا می‌خواهید طلبه شوید؟ آن علم، دانشی تخصصی است و لزوماً به این معنا نیست که در مسیر وجودی و تکاملیِ خودت حرکت می‌کنی. همان‌طور که خیاطی، بقالی، سینماگری و بازیگری هم به‌خودی‌خود جایگاه نهایی فرد را معلوم نمی‌کند. [یک واژهٔ شغلیِ دیگر در فهرست نامشخص است.] نمی‌دانیم آن آدم‌ها در چه مسیری پیش می‌روند و خدا با آنان چه معامله‌ای می‌کند.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پس این شاخص‌ها را باید دربارهٔ خودمان به کار ببریم، نه دیگران. کسی نکته‌ای ندارد؟ یکی از حاضران به آیه اشاره می‌کند: «وَقالُوا ما لَنا لا نَرى رِجالًا كُنّا نَعُدُّهُمْ مِنَ الْأَشْرارِ» [ص، ۶۲]. یعنی آن‌طرف می‌پرسیم فلانی که فکر می‌کردیم بد بود، چرا اینجا نیست؟</w:t>
      </w:r>
      <w:r>
        <w:rPr>
          <w:rFonts w:ascii="Vazirmatn" w:hAnsi="Vazirmatn" w:eastAsia="Vazirmatn" w:cs="Vazirmatn"/>
          <w:sz w:val="25"/>
          <w:szCs w:val="25"/>
          <w:rtl w:val="1"/>
          <w:b w:val="0"/>
          <w:bCs w:val="0"/>
          <w:lang w:val="fa-IR" w:bidi="fa-IR"/>
          <w:color w:val="000000"/>
        </w:rPr>
        <w:t>‬</w:t>
      </w:r>
    </w:p>
    <w:p>
      <w:pPr>
        <w:pStyle w:val="Heading1"/>
        <w:bidi w:val="0"/>
        <w:spacing w:line="348" w:lineRule="auto" w:after="140" w:before="240"/>
        <w:keepNext/>
        <w:widowControl w:val="1"/>
        <w:jc w:val="right"/>
      </w:pPr>
      <w:r>
        <w:rPr>
          <w:rFonts w:ascii="Vazirmatn" w:hAnsi="Vazirmatn" w:eastAsia="Vazirmatn" w:cs="Vazirmatn"/>
          <w:sz w:val="30"/>
          <w:szCs w:val="30"/>
          <w:rtl w:val="1"/>
          <w:b w:val="0"/>
          <w:bCs w:val="0"/>
          <w:lang w:val="fa-IR" w:bidi="fa-IR"/>
          <w:color w:val="000000"/>
        </w:rPr>
        <w:t>‫</w:t>
      </w:r>
      <w:r>
        <w:rPr>
          <w:rFonts w:ascii="Vazirmatn" w:hAnsi="Vazirmatn" w:eastAsia="Vazirmatn" w:cs="Vazirmatn"/>
          <w:sz w:val="30"/>
          <w:szCs w:val="30"/>
          <w:rtl w:val="1"/>
          <w:b w:val="1"/>
          <w:bCs w:val="1"/>
          <w:lang w:val="fa-IR" w:bidi="fa-IR"/>
          <w:color w:val="000000"/>
        </w:rPr>
        <w:t>جمع‌بندی و پایان جلسه</w:t>
      </w:r>
      <w:r>
        <w:rPr>
          <w:rFonts w:ascii="Vazirmatn" w:hAnsi="Vazirmatn" w:eastAsia="Vazirmatn" w:cs="Vazirmatn"/>
          <w:sz w:val="30"/>
          <w:szCs w:val="30"/>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ممکن است خودمان در جهنم باشیم و بگوییم او هم باید اینجا باشد؛ چرا نیست؟ حالا کمی دربارهٔ ایمان صحبت کردیم. امیدوارم جلسهٔ بعد دربارهٔ عمل صالح و اینکه چطور آن را پیدا یا کشف کنیم صحبت کنیم. آیات را مرور کنید و اگر سؤالی پیش آمد بپرسید. باز تأکید می‌کنم یکی از دلایلی که می‌گویم ضبط یا پخش نشود، این است که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این موضوعات به جای نقدِ بیان، در معرض نقدِ گوینده قرار می‌گیرند؛ می‌گویند تو چه کسی هستی که دربارهٔ قرآن حرف می‌زنی؟ به جای نقد حرف، سراغ شخص می‌روند. من مسلمانم و در حد خودم می‌خواهم با قرآن ارتباط داشته باشم و برداشت خودم را بگویم. برداشت از قرآن اشکال ندارد ...</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 گذاشتنِ چیزی در قرآن اشکال دارد. خیلی‌ها هم چنین کرده‌اند و کسی ایراد نگرفته؛ اما ما داریم برداشت خودمان را می‌گوییم. [چند جملهٔ پایانی و نقل عربیِ کوتاه در متن ماشینی به‌شدت مخدوش است و بدون صوت قابل تصحیح نیست.]</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دست شما درد نکند، ممنونم. آخر هفتهٔ خوبی داشته باشید. ممنون که آمدید. [بخشی از گفت‌وگوی پایانی و نام مخاطب نامطمئن است.] خیلی اذیت شدید یا توانستید گوش بدهید؟</w:t>
      </w:r>
      <w:r>
        <w:rPr>
          <w:rFonts w:ascii="Vazirmatn" w:hAnsi="Vazirmatn" w:eastAsia="Vazirmatn" w:cs="Vazirmatn"/>
          <w:sz w:val="25"/>
          <w:szCs w:val="25"/>
          <w:rtl w:val="1"/>
          <w:b w:val="0"/>
          <w:bCs w:val="0"/>
          <w:lang w:val="fa-IR" w:bidi="fa-IR"/>
          <w:color w:val="000000"/>
        </w:rPr>
        <w:t>‬</w:t>
      </w:r>
    </w:p>
    <w:p>
      <w:pPr>
        <w:spacing w:line="348" w:lineRule="auto" w:after="140"/>
        <w:bidi w:val="0"/>
        <w:widowControl w:val="1"/>
        <w:jc w:val="right"/>
      </w:pPr>
      <w:r>
        <w:rPr>
          <w:rFonts w:ascii="Vazirmatn" w:hAnsi="Vazirmatn" w:eastAsia="Vazirmatn" w:cs="Vazirmatn"/>
          <w:sz w:val="25"/>
          <w:szCs w:val="25"/>
          <w:rtl w:val="1"/>
          <w:b w:val="0"/>
          <w:bCs w:val="0"/>
          <w:lang w:val="fa-IR" w:bidi="fa-IR"/>
          <w:color w:val="000000"/>
        </w:rPr>
        <w:t>‫</w:t>
      </w:r>
      <w:r>
        <w:rPr>
          <w:rFonts w:ascii="Vazirmatn" w:hAnsi="Vazirmatn" w:eastAsia="Vazirmatn" w:cs="Vazirmatn"/>
          <w:sz w:val="25"/>
          <w:szCs w:val="25"/>
          <w:rtl w:val="1"/>
          <w:b w:val="0"/>
          <w:bCs w:val="0"/>
          <w:lang w:val="fa-IR" w:bidi="fa-IR"/>
          <w:color w:val="000000"/>
        </w:rPr>
        <w:t>[پاسخ حاضر در جلسه از متن ماشینی قابل بازیابی نیست.] خوش باشید؛ ببخشید اگر در این فضا مزاحم شدیم. اگر خواستید می‌توانیم ساعت جلسه را هم تغییر بدهیم؛ ببینیم خدا چه می‌خواهد. فعلاً با اجازه، خداحافظ. [پایان فایل؛ برچسب «موسیقی» در خروجی ماشینی آمده بود و با صوت تأیید نشده است.]</w:t>
      </w:r>
      <w:r>
        <w:rPr>
          <w:rFonts w:ascii="Vazirmatn" w:hAnsi="Vazirmatn" w:eastAsia="Vazirmatn" w:cs="Vazirmatn"/>
          <w:sz w:val="25"/>
          <w:szCs w:val="25"/>
          <w:rtl w:val="1"/>
          <w:b w:val="0"/>
          <w:bCs w:val="0"/>
          <w:lang w:val="fa-IR" w:bidi="fa-IR"/>
          <w:color w:val="000000"/>
        </w:rPr>
        <w:t>‬</w:t>
      </w:r>
    </w:p>
    <w:sectPr w:rsidR="00FC693F" w:rsidRPr="0006063C" w:rsidSect="00034616">
      <w:footerReference w:type="default" r:id="rId9"/>
      <w:pgSz w:w="11906" w:h="16838"/>
      <w:pgMar w:top="1077"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azirmatn">
    <w:embedRegular r:id="rIdEmbedRegular" w:fontKey="{E495AC26-5EF9-4864-81C2-D486E485D880}"/>
    <w:embedBold r:id="rIdEmbedBold" w:fontKey="{77A6461D-F528-47B6-919D-980411AF7D6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48" w:lineRule="auto" w:after="140"/>
      <w:jc w:val="right"/>
      <w:bidi w:val="0"/>
      <w:widowControl w:val="1"/>
    </w:pPr>
    <w:r>
      <w:rPr>
        <w:rFonts w:ascii="Vazirmatn" w:hAnsi="Vazirmatn" w:eastAsia="Vazirmatn" w:cs="Vazirmatn"/>
        <w:sz w:val="18"/>
        <w:szCs w:val="18"/>
        <w:rtl w:val="1"/>
        <w:b w:val="0"/>
        <w:bCs w:val="0"/>
        <w:lang w:val="fa-IR" w:bidi="fa-IR"/>
        <w:color w:val="00000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azirmatn" w:hAnsi="Vazirmatn" w:eastAsia="Vazirmatn" w:cs="Vazirmatn"/>
        <w:sz w:val="25"/>
        <w:szCs w:val="25"/>
        <w:lang w:val="fa-IR" w:eastAsia="en-US" w:bidi="fa-IR"/>
        <w:rtl w:val="1"/>
        <w:b w:val="0"/>
        <w:bCs w:val="0"/>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0"/>
      <w:jc w:val="right"/>
    </w:pPr>
    <w:rPr>
      <w:rFonts w:ascii="Vazirmatn" w:hAnsi="Vazirmatn" w:eastAsia="Vazirmatn" w:cs="Vazirmatn"/>
      <w:color w:val="000000"/>
      <w:sz w:val="25"/>
      <w:szCs w:val="25"/>
      <w:rtl w:val="1"/>
      <w:b w:val="0"/>
      <w:bCs w:val="0"/>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bidi w:val="0"/>
      <w:keepNext w:val="1"/>
      <w:keepLines/>
      <w:spacing w:before="480" w:after="0"/>
      <w:outlineLvl w:val="0"/>
      <w:jc w:val="right"/>
    </w:pPr>
    <w:rPr>
      <w:rFonts w:ascii="Vazirmatn" w:hAnsi="Vazirmatn" w:eastAsia="Vazirmatn" w:cs="Vazirmatn"/>
      <w:b w:val="1"/>
      <w:bCs w:val="1"/>
      <w:color w:val="000000"/>
      <w:sz w:val="30"/>
      <w:szCs w:val="30"/>
      <w:rtl w:val="1"/>
      <w:lang w:val="fa-IR" w:bidi="fa-IR"/>
    </w:rPr>
  </w:style>
  <w:style w:type="paragraph" w:styleId="Heading2">
    <w:name w:val="heading 2"/>
    <w:basedOn w:val="Normal"/>
    <w:next w:val="Normal"/>
    <w:link w:val="Heading2Char"/>
    <w:uiPriority w:val="9"/>
    <w:unhideWhenUsed/>
    <w:qFormat/>
    <w:rsid w:val="00FC693F"/>
    <w:pPr>
      <w:bidi w:val="0"/>
      <w:keepNext w:val="1"/>
      <w:keepLines/>
      <w:spacing w:before="200" w:after="0"/>
      <w:outlineLvl w:val="1"/>
      <w:jc w:val="right"/>
    </w:pPr>
    <w:rPr>
      <w:rFonts w:ascii="Vazirmatn" w:hAnsi="Vazirmatn" w:eastAsia="Vazirmatn" w:cs="Vazirmatn"/>
      <w:b w:val="1"/>
      <w:bCs w:val="1"/>
      <w:color w:val="000000"/>
      <w:sz w:val="26"/>
      <w:szCs w:val="26"/>
      <w:rtl w:val="1"/>
      <w:lang w:val="fa-IR" w:bidi="fa-IR"/>
    </w:rPr>
  </w:style>
  <w:style w:type="paragraph" w:styleId="Heading3">
    <w:name w:val="heading 3"/>
    <w:basedOn w:val="Normal"/>
    <w:next w:val="Normal"/>
    <w:link w:val="Heading3Char"/>
    <w:uiPriority w:val="9"/>
    <w:unhideWhenUsed/>
    <w:qFormat/>
    <w:rsid w:val="00FC693F"/>
    <w:pPr>
      <w:bidi w:val="0"/>
      <w:keepNext w:val="1"/>
      <w:keepLines/>
      <w:spacing w:before="200" w:after="0"/>
      <w:outlineLvl w:val="2"/>
      <w:jc w:val="right"/>
    </w:pPr>
    <w:rPr>
      <w:rFonts w:ascii="Vazirmatn" w:hAnsi="Vazirmatn" w:eastAsia="Vazirmatn" w:cs="Vazirmatn"/>
      <w:b w:val="1"/>
      <w:bCs w:val="1"/>
      <w:color w:val="000000"/>
      <w:sz w:val="24"/>
      <w:szCs w:val="24"/>
      <w:rtl w:val="1"/>
      <w:lang w:val="fa-IR" w:bidi="fa-I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bidi w:val="0"/>
      <w:spacing w:after="300" w:line="240" w:lineRule="auto"/>
      <w:contextualSpacing/>
      <w:keepNext w:val="1"/>
      <w:jc w:val="right"/>
    </w:pPr>
    <w:rPr>
      <w:rFonts w:ascii="Vazirmatn" w:hAnsi="Vazirmatn" w:eastAsia="Vazirmatn" w:cs="Vazirmatn"/>
      <w:color w:val="000000"/>
      <w:spacing w:val="5"/>
      <w:kern w:val="28"/>
      <w:sz w:val="38"/>
      <w:szCs w:val="38"/>
      <w:rtl w:val="1"/>
      <w:b w:val="1"/>
      <w:bCs w:val="1"/>
      <w:lang w:val="fa-IR" w:bidi="fa-I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hahbazi-Amir/vid_pipeline/blob/work/quran-archive-transcription/outputs/quran-archive/texts/lecture-01-original.md" TargetMode="External"/><Relationship Id="rId11" Type="http://schemas.openxmlformats.org/officeDocument/2006/relationships/hyperlink" Target="https://github.com/Shahbazi-Amir/vid_pipeline/blob/work/quran-archive-transcription/outputs/quran-archive/01/transcript.timestamped.md" TargetMode="External"/><Relationship Id="rId12" Type="http://schemas.openxmlformats.org/officeDocument/2006/relationships/hyperlink" Target="https://github.com/Shahbazi-Amir/vid_pipeline/blob/work/quran-archive-transcription/outputs/quran-archive/REVIEW_NOTES.md" TargetMode="External"/></Relationships>
</file>

<file path=word/_rels/fontTable.xml.rels><?xml version='1.0' encoding='UTF-8' standalone='yes'?>
<Relationships xmlns="http://schemas.openxmlformats.org/package/2006/relationships"><Relationship Id="rIdEmbedRegular" Type="http://schemas.openxmlformats.org/officeDocument/2006/relationships/font" Target="fonts/regular.odttf"/><Relationship Id="rIdEmbedBold" Type="http://schemas.openxmlformats.org/officeDocument/2006/relationships/font" Target="fonts/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نگاه قرآنی به رسالت انسانی — جلسهٔ اول</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