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spacing w:line="348" w:lineRule="auto" w:after="140" w:before="0"/>
        <w:keepNext/>
        <w:widowControl w:val="1"/>
        <w:jc w:val="right"/>
      </w:pPr>
      <w:r>
        <w:rPr>
          <w:rFonts w:ascii="Vazirmatn" w:hAnsi="Vazirmatn" w:eastAsia="Vazirmatn" w:cs="Vazirmatn"/>
          <w:sz w:val="38"/>
          <w:szCs w:val="38"/>
          <w:rtl w:val="1"/>
          <w:b w:val="0"/>
          <w:bCs w:val="0"/>
          <w:lang w:val="fa-IR" w:bidi="fa-IR"/>
          <w:color w:val="000000"/>
        </w:rPr>
        <w:t>‫</w:t>
      </w:r>
      <w:r>
        <w:rPr>
          <w:rFonts w:ascii="Vazirmatn" w:hAnsi="Vazirmatn" w:eastAsia="Vazirmatn" w:cs="Vazirmatn"/>
          <w:sz w:val="38"/>
          <w:szCs w:val="38"/>
          <w:rtl w:val="1"/>
          <w:b w:val="1"/>
          <w:bCs w:val="1"/>
          <w:lang w:val="fa-IR" w:bidi="fa-IR"/>
          <w:color w:val="000000"/>
        </w:rPr>
        <w:t>نگاه قرآنی به رسالت انسانی — جلسهٔ دوم</w:t>
      </w:r>
      <w:r>
        <w:rPr>
          <w:rFonts w:ascii="Vazirmatn" w:hAnsi="Vazirmatn" w:eastAsia="Vazirmatn" w:cs="Vazirmatn"/>
          <w:sz w:val="38"/>
          <w:szCs w:val="38"/>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نسخهٔ بازبینی‌شدهٔ متنی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1"/>
          <w:bCs w:val="1"/>
          <w:lang w:val="fa-IR" w:bidi="fa-IR"/>
          <w:color w:val="000000"/>
        </w:rPr>
        <w:t>نوع بازبینی:</w:t>
      </w:r>
      <w:r>
        <w:rPr>
          <w:rFonts w:ascii="Vazirmatn" w:hAnsi="Vazirmatn" w:eastAsia="Vazirmatn" w:cs="Vazirmatn"/>
          <w:sz w:val="25"/>
          <w:szCs w:val="25"/>
          <w:rtl w:val="1"/>
          <w:b w:val="0"/>
          <w:bCs w:val="0"/>
          <w:lang w:val="fa-IR" w:bidi="fa-IR"/>
          <w:color w:val="000000"/>
        </w:rPr>
        <w:t xml:space="preserve"> خواندن و بازنویسی معناییِ تمام متن موجود در همین گفت‌وگو، با حفظ ترتیب بحث و پرسش‌وپاسخ‌ها؛ نه بازشناسیِ دوبارهٔ صوت. این نسخه خلاصهٔ موضوعی نیست، اما تکیه‌کلام‌ها و جمله‌های شکسته برای خوانایی ویرایش شده‌اند.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1"/>
          <w:bCs w:val="1"/>
          <w:lang w:val="fa-IR" w:bidi="fa-IR"/>
          <w:color w:val="000000"/>
        </w:rPr>
        <w:t>محدودهٔ اطمینان:</w:t>
      </w:r>
      <w:r>
        <w:rPr>
          <w:rFonts w:ascii="Vazirmatn" w:hAnsi="Vazirmatn" w:eastAsia="Vazirmatn" w:cs="Vazirmatn"/>
          <w:sz w:val="25"/>
          <w:szCs w:val="25"/>
          <w:rtl w:val="1"/>
          <w:b w:val="0"/>
          <w:bCs w:val="0"/>
          <w:lang w:val="fa-IR" w:bidi="fa-IR"/>
          <w:color w:val="000000"/>
        </w:rPr>
        <w:t xml:space="preserve"> «مأموریت فردی» با تصحیح صریح کاربر جایگزین شده است. واژه‌های مخدوش با اتکا به سیاق اصلاح شده‌اند؛ نام‌ها، تاریخ‌ها و بخش‌های بازیابی‌ناپذیر حدس زده نشده‌اند. عبارت‌های داخل کروشه یادداشت ویراستارند. نقل‌های قرآنیِ قابل شناسایی بر اساس ارجاع و عبارت موجود بازنویسی شده‌اند؛ با صوت و مصحف مستقلاً تطبیق نشده‌اند. توضیح‌های تفسیری، دیدگاه گوینده‌اند و این ویرایش تأییدِ آنها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hyperlink r:id="rId10">
        <w:r>
          <w:rPr>
            <w:rFonts w:ascii="Vazirmatn" w:hAnsi="Vazirmatn" w:eastAsia="Vazirmatn" w:cs="Vazirmatn"/>
            <w:sz w:val="25"/>
            <w:szCs w:val="25"/>
            <w:rtl w:val="1"/>
            <w:b w:val="0"/>
            <w:bCs w:val="0"/>
            <w:lang w:val="fa-IR" w:bidi="fa-IR"/>
            <w:color w:val="000000"/>
          </w:rPr>
          <w:t>نسخهٔ ماشینی اولیه</w:t>
        </w:r>
      </w:hyperlink>
      <w:r>
        <w:rPr>
          <w:rFonts w:ascii="Vazirmatn" w:hAnsi="Vazirmatn" w:eastAsia="Vazirmatn" w:cs="Vazirmatn"/>
          <w:sz w:val="25"/>
          <w:szCs w:val="25"/>
          <w:rtl w:val="1"/>
          <w:b w:val="0"/>
          <w:bCs w:val="0"/>
          <w:lang w:val="fa-IR" w:bidi="fa-IR"/>
          <w:color w:val="000000"/>
        </w:rPr>
        <w:t xml:space="preserve"> · </w:t>
      </w:r>
      <w:hyperlink r:id="rId11">
        <w:r>
          <w:rPr>
            <w:rFonts w:ascii="Vazirmatn" w:hAnsi="Vazirmatn" w:eastAsia="Vazirmatn" w:cs="Vazirmatn"/>
            <w:sz w:val="25"/>
            <w:szCs w:val="25"/>
            <w:rtl w:val="1"/>
            <w:b w:val="0"/>
            <w:bCs w:val="0"/>
            <w:lang w:val="fa-IR" w:bidi="fa-IR"/>
            <w:color w:val="000000"/>
          </w:rPr>
          <w:t>نسخهٔ زمان‌دار برای تطبیق</w:t>
        </w:r>
      </w:hyperlink>
      <w:r>
        <w:rPr>
          <w:rFonts w:ascii="Vazirmatn" w:hAnsi="Vazirmatn" w:eastAsia="Vazirmatn" w:cs="Vazirmatn"/>
          <w:sz w:val="25"/>
          <w:szCs w:val="25"/>
          <w:rtl w:val="1"/>
          <w:b w:val="0"/>
          <w:bCs w:val="0"/>
          <w:lang w:val="fa-IR" w:bidi="fa-IR"/>
          <w:color w:val="000000"/>
        </w:rPr>
        <w:t xml:space="preserve"> · </w:t>
      </w:r>
      <w:hyperlink r:id="rId12">
        <w:r>
          <w:rPr>
            <w:rFonts w:ascii="Vazirmatn" w:hAnsi="Vazirmatn" w:eastAsia="Vazirmatn" w:cs="Vazirmatn"/>
            <w:sz w:val="25"/>
            <w:szCs w:val="25"/>
            <w:rtl w:val="1"/>
            <w:b w:val="0"/>
            <w:bCs w:val="0"/>
            <w:lang w:val="fa-IR" w:bidi="fa-IR"/>
            <w:color w:val="000000"/>
          </w:rPr>
          <w:t>گزارش بازبینی</w:t>
        </w:r>
      </w:hyperlink>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آغاز جلسه و پرسش‌های جلسهٔ قبل</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سلام؛ به دومین جلسهٔ «نگاه قرآنی به رسالت انسانی» خوش آمدید. [تاریخ در متن ماشینی «پنشنبه سی فهمن» ثبت شده و بدون شنیدن صوت قابل تصحیح قطعی نیست.] چند لحظه برای پیوستن دوستان و تنظیم ارتباط صبر می‌کنیم. سلام مجدد؛ آماده‌اید شروع کنیم؟ همه هستیم؟ از جلسهٔ قبل کسی سؤال یا نکته‌ای ندارد؟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بله، یک سؤال داشتم.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بحث دربارهٔ ویژگی‌های عمل صالح بود: چه چیزی باعث می‌شود یک کار، عمل صالح باشد؟ آیا هر کار خیر یا مثبتی را می‌توان در نظر گرفت؟ یکی از ویژگی‌ها، داشتن آگاهی از ابتدا و انتها بود. [چند واژهٔ این پرسش در متن ماشینی روشن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اعمال ما اثر دارند. سؤال من دربارهٔ اثر عمل است: ممکن است عملی انجام بدهیم که [عبارت نامفهوم]؛ اگر پیامد نامطلوبی داشته باشد، مسئولیتش با ماست؟ این موضوع چطور در بحث قرار می‌گیرد؟ جایگاه احکام و فقه در این موضوع چیست؟ [صورت کاملِ سه بخش پرسش، از متن ماشینی قابل بازیابی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هر سه نکته‌ای که گفتید در راستای همین موضوع است. اتفاقاً نباید پاسخ کوتاهی بدهیم؛ باید مفصل درباره‌اش صحبت کنیم. فعلاً بقیه هم اگر سؤال کوتاهی دارند بپرسند.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من سؤالی داشتم. قرآن می‌خواندم و به این آیه رسیدم: «إِلَيْهِ يَصْعَدُ الْكَلِمُ الطَّيِّبُ وَالْعَمَلُ الصّالِحُ يَرْفَعُهُ» [فاطر، ۱۰؛ عبارت عربی بر اساس بخش قابل شناسایی بازنویسی شده است]. عمل صالح را که فرمودید ...</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عمل صالحِ محوری و مأموریت فردی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«کلم طیّب» را باید حرف درست بفهمیم؟ و نسبت یا اولویت این دو چیست؟ [بخش آخر سؤال مخدوش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بله، اینها در بحث ما هست. از کدام شروع کنیم؟ فعلاً اشاره کنم: عمل صالحِ کوچک‌کوچک داریم؛ اما یک عمل صالح هم هست که به زندگی رنگ می‌دهد. آن عمل صالح، همان مأموریت ماست. بعداً مفصل‌تر می‌گویم. فعلاً این جمله را داشته باشید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ما که بالفعل حیوان و بالقوه انسانیم، با آن عمل صالح انسان می‌شویم. ترک آن، موجب محقق‌نشدن انسانیت ماست. نفس حیوانیِ ما بالفعل حضور دارد، اما انسانیت بالقوه است؛ رفتاری در ما، ما را انسان می‌کند. [واژه‌های بالقوه و بالفعل در متن ماشینی چند بار جابه‌جا شده بود؛ این بند بر اساس تقابل صریحِ آغاز آن اصلاح شده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پیداکردن مأموریت با تمرینِ بازگشت از مرگ</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آن رفتار، عمل صالح است. چون سؤال کردید، همین‌جا سراغش برویم: چطور عمل صالحِ خودمان را پیدا کنیم؟ روش‌های دیگری هم دارد، اما فعلاً یکی را بگوییم. سورهٔ سجده را باز کنید. [در گفتار، شمارهٔ سوره، آیه و صفحه چند بار جابه‌جا و اصلاح می‌شود؛ ارجاع نهایی در بند بعد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ببخشید؛ سورهٔ سی‌ودوم قرآن، یعنی سجده، آیهٔ ۱۲ است. این یک کد است: درخواست بازگشت برای انجام عمل صالح، پس از دیدن و شنیدن. [گوینده مضمون آیه را با بیان آموزشی توضیح می‌دهد؛ این توضیح ترجمهٔ لفظ‌به‌لفظ معرفی نمی‌شود.] بعد سورهٔ مؤمنون، آیات ۹۹ و ۱۰۰، صفحهٔ ۳۴۸: «حَتّى إِذا جاءَ أَحَدَهُمُ الْمَوْتُ قالَ رَبِّ ارْجِعُونِ * لَعَلّي أَعْمَلُ صالِحًا فيما تَرَكْتُ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خواندید؟ حالا سورهٔ فاطر، آیهٔ ۳۷: «وَهُمْ يَصْطَرِخُونَ فيها رَبَّنا أَخْرِجْنا نَعْمَلْ صالِحًا غَيْرَ الَّذي كُنّا نَعْمَلُ ...». هر سه آیه از بازگشت برای انجام عمل صالح سخن می‌گویند؛ کاری غیر از آنچه انجام می‌دادیم. این یکی از راه‌های پیدا کردن مأموریت فردی است: فرض کن مرده‌ای و می‌گویی مرا برگردان. اگر به تو بگویند برگرد، کدام عمل صالحِ منحصر به خودت را می‌خواهی انجام بدهی؟ از بعضی عرفا چنین تمرینی شنیده‌ام.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فکر می‌کنم داستانی هم از علامه امینی نقل شده که در قبر می‌خوابید و می‌گفت خدایا مرا برگردان تا آن کار درستی را که باید انجام بدهم، انجام بدهم. [خود گوینده در انتساب تردید دارد؛ این انتساب در این بازبینی تأیید نشده است.] بعد بیرون می‌آمد و می‌گفت حالا آن کاری که می‌خواستی بکنی چه بود؟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حالا برو انجامش بده. دوستی داشتیم که در دههٔ بیست‌سالگی با هم مأنوس بودیم. برای تصمیم‌های مهم زندگی، شب یا نیمه‌شب به بهشت‌زهرا می‌رفتیم؛ می‌نشستیم، از هم جدا می‌شدیم و تصمیم می‌گرفتیم. می‌گفتیم فرض کن دیگر برنمی‌گردی؛ اگر برگردی چه کار می‌کنی؟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یک شاخص است: «رَبِّ ارْجِعُونِ لَعَلّي أَعْمَلُ ...». هر سه آیه این کد را دارند؛ تمرین مرگ از این جهت مهم است. حقیقتی است که شاید روزی کسی مثل جابز هم به آن برسد، اما قرآن نزد ماست و از آن استفاده نمی‌کنیم. فقط می‌خوانیم که پاسخ می‌آید: «كَلّا إِنَّها كَلِمَةٌ هُوَ قائِلُها ...»؛ او را برنمی‌گردانیم. یکی از ویژگی‌های آن عمل صالح، منحصر به خودت بودن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فعلیت‌یافتن استعداد و پرهیز از داوری دربارهٔ شخص</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همان کاری که اگر برگردی، می‌خواهی انجام بدهی. ویژگی دیگرش این بود که استعداد مرا از قوه به فعل تبدیل می‌کند. هر کاری که انجام می‌دهیم، اگر هیچ توانایی یا استعدادی از ما را به فعلیت نرساند، مأموریت ما نیست. مثلاً غذاخوردن در سطح حیوانی ماست؛ باید نور عمل صالح به آن بتابد تا معنای دیگری پیدا 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ببینیم عمل در سطح حیوانی است یا انسانی. رفتار ممکن است مشابه باشد، اما ایمان و آگاهی به آن شکل می‌دهد، آن را در راستای مأموریت قرار می‌دهد و در «شدن» ما اثر می‌گذارد. شعری نقل می‌شود: «موجیم و وصل ما از خود بریدن است / ساحل بهانه‌ای است، رفتن رسیدن است». [صورت مشهورِ بیت بازنویسی شده؛ تطبیق کلمه‌به‌کلمه با صوت انجام نشده است.] حرکت مهم است؛ چون مسیر هر کس منحصر به فرد است، نمی‌توان دربارهٔ جایگاه نهایی او قضاوت کرد.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کسی در منزلی که حضور دارد از ما عقب‌تر به نظر برسد، اما در حرکتی که کرده بسیار جلوتر باشد؛ از این جهت انسان‌تر باشد. آن فعل و حرکت مهم است. حتی می‌توان گفت انسان بد و خوب را به‌سادگی نمی‌توانیم برچسب بزنیم؛ کارهای بد و خوب داریم. [بخش پایانی جمله دربارهٔ شاخص‌ها در متن ماشینی ناقص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کسی در همان منزلی که هست کار نادرستی انجام داده باشد، اما در مسیر انسانیت کیلومترها از ما که اکنون کاری درست می‌کنیم جلوتر باشد؛ چون نمی‌دانیم چقدر حرکت کرده است. فقط می‌توانیم بگوییم این کار نادرست است، نه اینکه جایگاه نهایی او را تعیین کنیم. البته گاهی خود فرد به‌تدریج مصداقِ کار نادرست می‌شود؛ توضیح می‌دهم.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یعنی می‌توانیم دربارهٔ درست یا غلط بودن یک عمل در آن موقعیت داوری کنیم، اما کل مسیر شخص را نه؟ آیا خود همین هم قضاوت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یک بار قضاوت دربارهٔ فعل است و یک بار دربارهٔ انسان. آن سنجش را روی فعل قرار می‌دهیم، نه روی انسان. ممکن است انسانی در منزلی از دنیا برود که از منزل ما عقب‌تر به نظر برسد ...</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وقتی رفتار به هویت بدل می‌شود: داستان نوح</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اما وقتی حقیقت آشکار شود، از ما جلوتر باشد. [پرسش کوتاهِ بعدی در متن ماشینی روشن نیست.] بحث ما یکپارچه است؛ جلوتر که برویم هم‌ذهن‌تر می‌شویم. یک نکته هم بگویم: ممکن است فرد آن‌قدر در کار بد مداومت کند که خودش آن کار بشود؛ آن فعل، اسم و هویت او شود. از قرآن مثالی به ذهنتان می‌رسد؟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[چند پیشنهاد و عبارت کوتاه حاضران در متن ماشینی مخدوش است؛ از کفر و نفاق هم نام برده می‌شود.] مثالی روشن‌تر را در سورهٔ هود ببینیم. صفحهٔ ۲۲۶، آیهٔ ۴۲؛ داستان نوح و پسرش. نوح دلش برای فرزندش می‌سوزد.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«وَهِيَ تَجْري بِهِمْ في مَوْجٍ كَالْجِبالِ وَنادى نُوحٌ ابْنَهُ وَكانَ في مَعْزِلٍ يا بُنَيَّ ارْكَبْ مَعَنا وَلا تَكُنْ مَعَ الْكافِرينَ». می‌گوید همراه کافران نباش. پسر پاسخ می‌دهد به کوهی پناه می‌برم. نوح می‌گوید: «لا عاصِمَ الْيَوْمَ مِنْ أَمْرِ اللَّهِ إِلّا مَنْ رَحِمَ ...» [هود، ۴۳]. هیچ پناهی در برابر امر خدا نیست، مگر رحمت او. امروز دربارهٔ «مَنْ رَحِمَ» هم صحبت می‌کنیم.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مگر اینکه خدا به تو رحم کند؛ روزی که هیچ راه فراری نیست. «وَحالَ بَيْنَهُمَا الْمَوْجُ فَكانَ مِنَ الْمُغْرَقينَ». چه تصویر سینمایی‌ای: موج میان پدر و پسر حائل می‌شود و پسر در شمار غرق‌شدگان قرار می‌گیرد. آیهٔ ۴۴ را هم از ادبی‌ترین آیات قرآن دانسته‌اند؛ به زمین و آسمان فرمان می‌رسد و امر پایان می‌گیرد. پایانش هم می‌گوید دور باد قوم ستمکار.</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«وَقيلَ بُعْدًا لِلْقَوْمِ الظّالِمينَ». اگر یادم رفت، «بُعْدًا» را بعداً یادآوری کنید. نوح پروردگارش را صدا می‌زند: پسرم از خانوادهٔ من بود و وعدهٔ تو حق است؛ تو بهترین داورانی. پاسخ می‌رسد: «يا نُوحُ إِنَّهُ لَيْسَ مِنْ أَهْلِكَ إِنَّهُ عَمَلٌ غَيْرُ صالِحٍ ...» [هود، ۴۶]. در خوانش مورد بحث، فقط نمی‌گوید کاری ناشایست کرده؛ تعبیر «عمل غیر صالح» دربارهٔ خود او آمده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اسمش شده «عمل غیر صالح». سپس: «فَلا تَسْأَلْنِ ما لَيْسَ لَكَ بِهِ عِلْمٌ إِنّي أَعِظُكَ أَنْ تَكُونَ مِنَ الْجاهِلينَ». گوینده می‌گوید معمولاً در ترجمه توضیح می‌دهند که مبادا از ناآگاهان باشی، اما خودش از آن این دریافت آموزشی را دارد که در این ماجرا بیش از دانسته‌ات جست‌وجو و داوری نکن. [تعبیر بعدیِ گوینده «نادان بمان» در متن ماشینی آمده است؛ این تعبیر تفسیر شخصی اوست و ترجمهٔ لفظی آیه نیست؛ ضبط دقیقش نیازمند شنیدن صوت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عمل و ساختنِ خود</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اینکه چرا او، چرا این و چرا من، لزوماً چیزی نیست که باید به دست بیاوری. آنچه می‌خواستم بگویم همین «عمل غیر صالح» بود: با رفتار، خودمان را محقق می‌کنیم. در این بیان، عمل صالح و عبادت ما در نهایت خود ما می‌شود؛ خودمان عمل صالح می‌شویم. مبدأ و مقصد و فعل و جزا و راه، به خود ما برمی‌گردد؛ چیزی یکسره بیرون از ما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گفته می‌شود امیرالمؤمنین صراط مستقیم است. در این چارچوب، این تعبیر چندان عجیب نیست: خودش راه شده است. به بیان دیگر، فقط به بهشت یا جهنم نمی‌رویم؛ بهشت یا جهنم «می‌شویم» و سپس به جای دیگری می‌رویم و به ادراک دیگری می‌رسیم. [متن ماشینی در این تقابل، «بهشت می‌شویم» را مخدوش ثبت کرده بود؛ این بازسازی بر اساس جملهٔ بعدی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ویژگی عمل را می‌توان در یک مدل دوبعدی توضیح داد. قبلش بپرسیم: رفتارهایی که انجام می‌دهیم و با آنها خودمان را می‌سازیم چه می‌شوند؟ به آیهٔ «اتْلُ ما أُوحِيَ إِلَيْكَ مِنَ الْكِتابِ وَأَقِمِ الصَّلاةَ إِنَّ الصَّلاةَ تَنْهى عَنِ الْفَحْشاءِ وَالْمُنْكَرِ ...» اشاره می‌شود [عنکبوت، ۴۵]. گوینده همچنین از تعبیرِ ساختنِ خود و «وَاصْطَنَعْتُكَ لِنَفْسي» دربارهٔ موسی یاد می‌کند [طه، ۴۱].</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خدا می‌داند چه می‌کنیم. [در متن ماشینی، تعبیر عربی «ما تصنعون» با آیهٔ پیشین درهم آمیخته است؛ عبارت مخدوش به‌عنوان نقل دقیق قرآن بازنویسی نشده است.] برای شروع ببینیم چه چیزی از خودمان می‌سازیم: رفتار ما کجا می‌رود؟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هر فعل، در شاکلهٔ ما صورت پیدا می‌کند؛ شاید در عوالم دیگر. چیزی از هستی بیرون نمی‌رود. عمل دیروز من الان در شاکله‌ام محقق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یعنی در برزخ، قیامت و عوالم بعدی، با صورت اعمال روبه‌رو می‌شویم؟ اینجا عمل را انجام می‌دهیم، ولی صورتش را نمی‌بینیم؛ در آن عالم صورتِ تک‌تک اعمال در شاکلهٔ ما آشکار می‌شود. [نام و ترتیب عوالم در متن ماشینی مخدوش است؛ این بند بازنویسیِ معنای قابل تشخیص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یک حرف خوب اینجا در قالب کلام ظاهر می‌شود، اما آنجا صورت و شکلی پیدا می‌کند و در شاکلهٔ من اثر 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[وقفه برای نمایش نمودار؛ چند عبارت کوتاه نامشخص است.] نمودار را می‌بینید؟ اگر می‌شود [تنظیم تصویر]؛ الان خوب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مدل مُلک و ملکوت و بازگشتِ آثار عمل</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بله. یک مدل دوگانه داریم؛ البته چندلایه است، ولی فعلاً دو لایه را توضیح می‌دهم: مُلک و ملکوت. اعمال ما در عالم مُلک به کجا می‌روند؟ به گذشته تبدیل می‌شوند. به این معنا تمام می‌شوند که به گذشته رفته‌اند و بازگشت مستقیمی به آن نداریم. اما این جمله مهم است: آنچه اکنون در زمان حال انجام می‌دهید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به گذشته‌ای تبدیل می‌شود که در آینده با آن روبه‌رو می‌شوید. در این مدل، مسیر زمان فقط خطی نیست؛ حالت حلقه‌ای دارد و برمی‌گردد. می‌خواهم این حلقه‌بودن را توضیح بدهم. آیهٔ ۱۸ سورهٔ حشر، صفحهٔ ۵۴۸ را ببینیم: «يا أَيُّهَا الَّذينَ آمَنُوا اتَّقُوا اللَّهَ ...». [شمارهٔ سوره در متن ماشینی روشن نبود؛ تطبیق با عبارت آیه، یادداشت ویراستار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 کسانی که ایمان آورده‌اید، مراقب باشید: «وَلْتَنْظُرْ نَفْسٌ ما قَدَّمَتْ لِغَدٍ ...». هر کس بنگرد برای فردا چه پیش فرستاده است. گوینده روی معنای «غد» مکث می‌کند و آن را در بحث خود به فردا، هفتهٔ بعد یا ماه آینده هم تعمیم می‌دهد. [این تعمیم، توضیح تفسیریِ گوینده است؛ معنای تفسیری آیه در این ویرایش مستقلاً تأیید نشده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کاری که در زمانِ </w:t>
      </w:r>
      <w:r>
        <w:rPr>
          <w:rFonts w:ascii="Vazirmatn" w:hAnsi="Vazirmatn" w:eastAsia="Vazirmatn" w:cs="Vazirmatn"/>
          <w:sz w:val="25"/>
          <w:szCs w:val="25"/>
          <w:rtl w:val="0"/>
          <w:b w:val="0"/>
          <w:bCs w:val="0"/>
          <w:lang w:val="fa-IR" w:bidi="fa-IR"/>
          <w:color w:val="000000"/>
        </w:rPr>
        <w:t>t1</w:t>
      </w:r>
      <w:r>
        <w:rPr>
          <w:rFonts w:ascii="Vazirmatn" w:hAnsi="Vazirmatn" w:eastAsia="Vazirmatn" w:cs="Vazirmatn"/>
          <w:sz w:val="25"/>
          <w:szCs w:val="25"/>
          <w:rtl w:val="1"/>
          <w:b w:val="0"/>
          <w:bCs w:val="0"/>
          <w:lang w:val="fa-IR" w:bidi="fa-IR"/>
          <w:color w:val="000000"/>
        </w:rPr>
        <w:t xml:space="preserve"> در عالم مُلک انجام می‌دهیم، حقیقت و آنچه از ما می‌سازد در عالم ملکوت محقق می‌شود. گوینده به گفتاری در آغاز فیلم «گلادیاتور» با مضمونِ بازتاب عمل در ابدیت اشاره می‌کند. [عبارت انگلیسیِ ثبت‌شده در خروجی ماشینی مخدوش بود؛ عین گفتار فیلم یا صوت جلسه نقل نشده است.] در این مدل، مهم‌ترین ویژگی ملکوت، بی‌زمانی و بی‌مکانی است؛ صورت عمل ما در آنجا حضور 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طبق سازوکاری، در زمان </w:t>
      </w:r>
      <w:r>
        <w:rPr>
          <w:rFonts w:ascii="Vazirmatn" w:hAnsi="Vazirmatn" w:eastAsia="Vazirmatn" w:cs="Vazirmatn"/>
          <w:sz w:val="25"/>
          <w:szCs w:val="25"/>
          <w:rtl w:val="0"/>
          <w:b w:val="0"/>
          <w:bCs w:val="0"/>
          <w:lang w:val="fa-IR" w:bidi="fa-IR"/>
          <w:color w:val="000000"/>
        </w:rPr>
        <w:t>t2</w:t>
      </w:r>
      <w:r>
        <w:rPr>
          <w:rFonts w:ascii="Vazirmatn" w:hAnsi="Vazirmatn" w:eastAsia="Vazirmatn" w:cs="Vazirmatn"/>
          <w:sz w:val="25"/>
          <w:szCs w:val="25"/>
          <w:rtl w:val="1"/>
          <w:b w:val="0"/>
          <w:bCs w:val="0"/>
          <w:lang w:val="fa-IR" w:bidi="fa-IR"/>
          <w:color w:val="000000"/>
        </w:rPr>
        <w:t xml:space="preserve"> به ما برمی‌گردد؛ صورت ملکوتی به صورت ملکی ترجمه می‌شود. مثل مضمونِ «تو نیکی می‌کن و در دجله انداز / که ایزد در بیابانت دهد باز». صورت ملکوتی رفتار باقی می‌ماند و در شرایط و موقعیت‌هایی دوباره صورت ملکی پیدا می‌کند. بعد به زمان </w:t>
      </w:r>
      <w:r>
        <w:rPr>
          <w:rFonts w:ascii="Vazirmatn" w:hAnsi="Vazirmatn" w:eastAsia="Vazirmatn" w:cs="Vazirmatn"/>
          <w:sz w:val="25"/>
          <w:szCs w:val="25"/>
          <w:rtl w:val="0"/>
          <w:b w:val="0"/>
          <w:bCs w:val="0"/>
          <w:lang w:val="fa-IR" w:bidi="fa-IR"/>
          <w:color w:val="000000"/>
        </w:rPr>
        <w:t>tn</w:t>
      </w:r>
      <w:r>
        <w:rPr>
          <w:rFonts w:ascii="Vazirmatn" w:hAnsi="Vazirmatn" w:eastAsia="Vazirmatn" w:cs="Vazirmatn"/>
          <w:sz w:val="25"/>
          <w:szCs w:val="25"/>
          <w:rtl w:val="1"/>
          <w:b w:val="0"/>
          <w:bCs w:val="0"/>
          <w:lang w:val="fa-IR" w:bidi="fa-IR"/>
          <w:color w:val="000000"/>
        </w:rPr>
        <w:t xml:space="preserve"> می‌رسیم؛ آنجا چه اتفاقی می‌افتد؟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خودمان به عالم ملکوت می‌رویم. تا پیش از آن، نتیجهٔ بعضی رفتارها به مُلک ترجمه می‌شد؛ اما در جایی دیگر، خودمان با صورت ملکوتی روبه‌رو می‌شویم. با اشاره به مضمون «بِما كانُوا يَعْمَلُونَ» می‌گوید جزا همان رویارویی با اعمال است. پیش‌تر با ترجمهٔ ملکی، و پس از فوت با خودِ آن عالم روبه‌رو می‌شویم. عبارت مشهور «النّاس نيام ...» نیز با مضمونِ بیداری پس از مرگ نقل می‌شود [متن دقیق و مأخذ در این فایل مشخص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آنچه از خوب و بد به ما می‌رسد، یا ترجمه‌ای از ملکوت در مُلک است، یا در ملکوت می‌ماند و آنجا دریافتش می‌کنیم. این ملکوتِ بی‌زمان و بی‌مکان، ویژگی دیگری دارد: ریزریز اعمال در آن یک کل یکپارچه‌اند. ملکوت در این بحث چیزی است که با رفتارهای کوچک از خودمان می‌سازیم. مُلک را خدا ساخته، اما ما صورتِ وجودیِ خودمان را با رفتار شکل می‌دهیم. سپس به روایاتی با مضمونِ ارتباط رنج مؤمن با اعمال اشاره می‌شود [مأخذ و لفظ دقیق نقل نشده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دربارهٔ خاری که به پای مؤمن می‌رود یا یک هول و ترس ناگهانی، می‌گوید ممکن است همان‌جا نتیجه‌ای به صورت ملکی درآمده باشد تا حسابش همان‌جا روشن شود. [این توضیح، دیدگاهِ نقل‌شدهٔ گوینده است و تشخیص علتِ یک رنج مشخص نیست.] می‌گوید سریع سراغ احکام نپریم؛ اول آیات مکی را بفهمیم و بعد سراغ آیات مدنی برویم. سورهٔ زلزال را هم ببینیم.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کجا گفته با اعمال روبه‌رو می‌شویم؟ «لِيُرَوْا أَعْمالَهُمْ»؛ «فَمَنْ يَعْمَلْ مِثْقالَ ذَرَّةٍ خَيْرًا يَرَهُ * وَمَنْ يَعْمَلْ مِثْقالَ ذَرَّةٍ شَرًّا يَرَهُ» [زلزال، ۶–۸]. می‌بینی. گوینده این رویارویی را، با شرایطی، در دنیا و آخرت مطرح می‌کند. اینکه چه چیزی به چه چیزی ترجمه شود، شرایط دارد. چرا صورت بعضی اعمال در مُلک آشکار نمی‌شود؟ ممکن است کسی بگوید زندگی ما هیچ مشکلی ندارد ...</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این خط‌کش برای محاسبهٔ خود است</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آیا این یعنی هیچ کار نادرستی نکرده‌اند؟ نمی‌دانیم؛ اولین پاسخ همین است. قرار است خودمان را ارزیابی کنیم. این شاخصِ ترجمهٔ صورت ملکوتی به مُلک، خط‌کشی برای خودمان است؛ نمی‌توانیم دربارهٔ دیگری بگوییم فلان بلا نتیجهٔ گناه اوست. این چه قضاوتی است؟ گفته‌اند خودت را محاسبه کن و بپرس چرا این اتفاق در زندگی من آمده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نه اینکه بایستی دیگران را محاسبه کنی. پرهیز از چنین قضاوتی یک اصل کلی است؛ وگرنه خود بحث ما را به خطای بیشتر می‌برد. آنچه در زمان‌های مختلف در عالم مُلک انجام می‌دهیم، «منی» را محقق می‌کند که فعلاً ادراکش را نداریم. بعضی وقت‌ها اعمال خوب و بد به شکل‌های مختلف ترجمه می‌شوند و در پایان، در عالم ملکوت با مجموع آنها روبه‌رو می‌شویم.</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توبه در مدل مورد بحث</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[سؤال یا توضیح کوتاهِ یکی از حاضران دربارهٔ نسبت عمل با شخص و زمینه، از متن ماشینی قابل بازیابی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در این مدلی که از زمان حلقه‌ای و مُلک و ملکوت می‌گویید، توبه کجا قرار می‌گیرد؟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آدم‌ها کارهایی کرده‌اند و بعد توبه می‌کنند. دربارهٔ توبه می‌شنویم که شخص مثل کودکی می‌شود که تازه از مادر متولد 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الان توضیح می‌دهم. قبلش همان «إِلّا مَنْ رَحِمَ» را یادآوری 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«بِسْمِ اللَّهِ الرَّحْمنِ الرَّحيمِ» را چطور ترجمه می‌کنید؟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به نام خدایی که رحمتش عام و خاص است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مترجمان برای رحمان و رحیم، تعبیرهایی مثل بخشنده و بخشایشگر آورده‌اند. فعلاً پیش از جزئیاتِ تفاوت این دو، دقت کنیم که اینجا از مهربانی سخن می‌گوید؛ به تعبیر سادهٔ گوینده: به نام خدای مهربانِ مهربان. [این تعبیر، توضیح آموزشی اوست، نه جایگزین ترجمهٔ دقیق دو اسم.]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فرض کنیم در زمان </w:t>
      </w:r>
      <w:r>
        <w:rPr>
          <w:rFonts w:ascii="Vazirmatn" w:hAnsi="Vazirmatn" w:eastAsia="Vazirmatn" w:cs="Vazirmatn"/>
          <w:sz w:val="25"/>
          <w:szCs w:val="25"/>
          <w:rtl w:val="0"/>
          <w:b w:val="0"/>
          <w:bCs w:val="0"/>
          <w:lang w:val="fa-IR" w:bidi="fa-IR"/>
          <w:color w:val="000000"/>
        </w:rPr>
        <w:t>t1</w:t>
      </w:r>
      <w:r>
        <w:rPr>
          <w:rFonts w:ascii="Vazirmatn" w:hAnsi="Vazirmatn" w:eastAsia="Vazirmatn" w:cs="Vazirmatn"/>
          <w:sz w:val="25"/>
          <w:szCs w:val="25"/>
          <w:rtl w:val="1"/>
          <w:b w:val="0"/>
          <w:bCs w:val="0"/>
          <w:lang w:val="fa-IR" w:bidi="fa-IR"/>
          <w:color w:val="000000"/>
        </w:rPr>
        <w:t xml:space="preserve"> کاری کرده‌ایم. همان‌طور که یکی از حاضران هم گفت، ممکن است کار خوب باشد. آن کار یک صورت ملکوتی محقق می‌کند که در </w:t>
      </w:r>
      <w:r>
        <w:rPr>
          <w:rFonts w:ascii="Vazirmatn" w:hAnsi="Vazirmatn" w:eastAsia="Vazirmatn" w:cs="Vazirmatn"/>
          <w:sz w:val="25"/>
          <w:szCs w:val="25"/>
          <w:rtl w:val="0"/>
          <w:b w:val="0"/>
          <w:bCs w:val="0"/>
          <w:lang w:val="fa-IR" w:bidi="fa-IR"/>
          <w:color w:val="000000"/>
        </w:rPr>
        <w:t>t2</w:t>
      </w:r>
      <w:r>
        <w:rPr>
          <w:rFonts w:ascii="Vazirmatn" w:hAnsi="Vazirmatn" w:eastAsia="Vazirmatn" w:cs="Vazirmatn"/>
          <w:sz w:val="25"/>
          <w:szCs w:val="25"/>
          <w:rtl w:val="1"/>
          <w:b w:val="0"/>
          <w:bCs w:val="0"/>
          <w:lang w:val="fa-IR" w:bidi="fa-IR"/>
          <w:color w:val="000000"/>
        </w:rPr>
        <w:t xml:space="preserve"> به نتیجه‌ای ترجمه می‌شود. گوینده با اشاره به بحث ادراکات اعتباری علامه، مثالِ رفتن به سوی آب را می‌زند: گاهی نتیجه در این عالم به صورت نوشیدن آب ظاهر می‌شود و گاهی در عالم دیگر. [انتساب دقیق این مثال و عبارتِ مأخذ تأیید نشده است؛ متن ماشینی واژهٔ «مُلک» را در اینجا «مرگ» ثبت کرده بود.]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رفتار، صورتی ملکوتی را محقق می‌کند که با سازوکاری به نتیجه در عالم مُلک ترجمه می‌شود. حالا دربارهٔ عمل ناصالح: آیا هر بلایی سرم می‌آید باید به خودم برگردانم؟ گوینده بر محاسبهٔ خود تأکید می‌کند و دوباره از دیدن خیر و شر اعمال یاد می‌کند. اما یک نکتهٔ کلیدی را هم می‌گوید: </w:t>
      </w:r>
      <w:r>
        <w:rPr>
          <w:rFonts w:ascii="Vazirmatn" w:hAnsi="Vazirmatn" w:eastAsia="Vazirmatn" w:cs="Vazirmatn"/>
          <w:sz w:val="25"/>
          <w:szCs w:val="25"/>
          <w:rtl w:val="1"/>
          <w:b w:val="1"/>
          <w:bCs w:val="1"/>
          <w:lang w:val="fa-IR" w:bidi="fa-IR"/>
          <w:color w:val="000000"/>
        </w:rPr>
        <w:t>ما آن کسی نیستیم که با او رفتار می‌شود؛ ما آن کسی هستیم که رفتار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باید تشخیص بدهیم: آنچه با من می‌شود، جبرِ موقعیت است که در برابرش اختیار رفتار دارم. آنچه با من رفتار می‌شود، هویت من نیست؛ آنچه خودم انجام می‌دهم مرا می‌سازد. روی این جمله فکر کنید. مثلاً اگر کسی به من سیلی زد، این به معنای سزاواربودن من برای سیلی‌خوردن نیست؛ رفتاری که در برابر آن انتخاب می‌کنم مرا می‌سازد.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نه صرفِ رفتاری که با من شده است. حالا در زمان </w:t>
      </w:r>
      <w:r>
        <w:rPr>
          <w:rFonts w:ascii="Vazirmatn" w:hAnsi="Vazirmatn" w:eastAsia="Vazirmatn" w:cs="Vazirmatn"/>
          <w:sz w:val="25"/>
          <w:szCs w:val="25"/>
          <w:rtl w:val="0"/>
          <w:b w:val="0"/>
          <w:bCs w:val="0"/>
          <w:lang w:val="fa-IR" w:bidi="fa-IR"/>
          <w:color w:val="000000"/>
        </w:rPr>
        <w:t>t1</w:t>
      </w:r>
      <w:r>
        <w:rPr>
          <w:rFonts w:ascii="Vazirmatn" w:hAnsi="Vazirmatn" w:eastAsia="Vazirmatn" w:cs="Vazirmatn"/>
          <w:sz w:val="25"/>
          <w:szCs w:val="25"/>
          <w:rtl w:val="1"/>
          <w:b w:val="0"/>
          <w:bCs w:val="0"/>
          <w:lang w:val="fa-IR" w:bidi="fa-IR"/>
          <w:color w:val="000000"/>
        </w:rPr>
        <w:t xml:space="preserve"> رفتار ناشایستی کرده‌ام و صورت آن در ملکوت محقق شده است. چه کارش کنم؟ آیا به عالم ملکوت دسترسی دارم؟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توبه داریم.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خب، سازوکارش 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توبه هم صورتی دارد. می‌خواهم در همین مدل توضیح بدهید چه اتفاقی می‌افتد، نه فقط اسمش را بگوییم. [یک تشبیه کوتاه در متن ماشینی نامفهوم است.] در عالم مُلک خطایی کرده‌ام و در ملکوت محقق شده؛ حالا چه می‌شود؟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همان‌طور که بعضی گناهان اعمال خوب را حبس می‌کنند، توبه هم با اعمال اشتباه چنین می‌کند؛ گاهی حتی آنها را تبدیل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می‌خواهم گام‌به‌گام پیش برویم تا آن را بچشیم. پایان سورهٔ یس، صفحهٔ ۴۴۵ را ببینیم. می‌خواهم این کدهای قرآنی را داشته باشید و با درکشان آیات را بخوانید. [پرسش کوتاه از یکی از حاضران و پاسخِ بعدی دقیق ثبت نشده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غفران و تبدیل سیئات به حسنات</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آیهٔ پایان یس را ببینیم: «فَسُبْحانَ الَّذي بِيَدِهِ مَلَكُوتُ كُلِّ شَيْءٍ وَإِلَيْهِ تُرْجَعُونَ» [یس، ۸۳؛ بازنویسی بر اساس ارجاع]. ملکوت در دست خداست. در این مدل، پس از انجام عمل، خودمان نمی‌توانیم صورت تحقق‌یافته‌اش را مستقیماً دستکاری کنیم؛ فقط مسئلهٔ بعد از قیامت نیست. آن صورت ظاهر شده است. البته مُلک هم در دست خداست؛ آیهٔ اول سورهٔ ملک را هم در نظر بگیرید.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آغاز سورهٔ تبارک می‌گوید مُلک در دست اوست. پس مُلک و ملکوت دست خداست. اینجا دستاویز ما همین است: «بِيَدِهِ مَلَكُوتُ كُلِّ شَيْءٍ». در این مدل، فقط خدا به آن دسترسی دارد. حالا سورهٔ آل‌عمران، آیهٔ ۱۳۵، صفحهٔ ۶۷؛ چه کسی جز خدا می‌تواند ببخشد؟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کسی جز خدا نمی‌تواند آن صورت ملکوتی را تغییر بدهد: «وَمَنْ يَغْفِرُ الذُّنُوبَ إِلَّا اللَّهُ». برای دنبال‌کردن مسیر، گوینده ابتدا میان سورهٔ زمر و فرقان جابه‌جا می‌شود و صفحه‌ها را اصلاح می‌کند. سؤال اصلی این است: خدایا چطور رحم می‌کنی؟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xml:space="preserve">رحم و مهربانی در اینجا چه می‌کند؟ همان سخن نوح: «لا عاصِمَ الْيَوْمَ ... إِلّا مَنْ رَحِمَ». گوینده می‌گوید اسمِ رحمت در فعلی به نام غفران تجلی می‌کند؛ غفران، در مدل مورد بحث، صورت ملکوتیِ بد را برمی‌دارد. به زمان </w:t>
      </w:r>
      <w:r>
        <w:rPr>
          <w:rFonts w:ascii="Vazirmatn" w:hAnsi="Vazirmatn" w:eastAsia="Vazirmatn" w:cs="Vazirmatn"/>
          <w:sz w:val="25"/>
          <w:szCs w:val="25"/>
          <w:rtl w:val="0"/>
          <w:b w:val="0"/>
          <w:bCs w:val="0"/>
          <w:lang w:val="fa-IR" w:bidi="fa-IR"/>
          <w:color w:val="000000"/>
        </w:rPr>
        <w:t>t2</w:t>
      </w:r>
      <w:r>
        <w:rPr>
          <w:rFonts w:ascii="Vazirmatn" w:hAnsi="Vazirmatn" w:eastAsia="Vazirmatn" w:cs="Vazirmatn"/>
          <w:sz w:val="25"/>
          <w:szCs w:val="25"/>
          <w:rtl w:val="1"/>
          <w:b w:val="0"/>
          <w:bCs w:val="0"/>
          <w:lang w:val="fa-IR" w:bidi="fa-IR"/>
          <w:color w:val="000000"/>
        </w:rPr>
        <w:t xml:space="preserve"> می‌رسی و آن نتیجهٔ بد به تو نمی‌رسد. وقتی می‌گوییم خدایا ببخش، در این توضیح یعنی آن صورت برداشته شود. [پرسش کوتاه دربارهٔ یک نمونهٔ رنج در متن ماشینی مخدوش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ممکن است بلا یا سختی اثر یک عمل باشد؟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[پاسخ کوتاه و مثال دقیق نامطمئن است.] چیزی که یکی از حاضران اشاره کرد، «إِنَّ الْحَسَناتِ يُذْهِبْنَ السَّيِّئاتِ» است [هود، ۱۱۴]. آن بحثِ اثر حسنات را هم داریم؛ اما اینجا از پاک‌شدن صحبت می‌کنیم. گام اول این است که صورت بد برداشته شود. حالا گام دوم: اگر بخواهی، خدا کار دیگری هم برایت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سورهٔ فرقان، آیهٔ ۷۰، صفحهٔ ۳۶۶: «إِلّا مَنْ تابَ وَآمَنَ وَعَمِلَ عَمَلًا صالِحًا ... فَأُولئِكَ يُبَدِّلُ اللَّهُ سَيِّئاتِهِمْ حَسَناتٍ ...». توبه کرده، ایمان آورده و حالا کار صالح انجام می‌دهد. در مدل گوینده، خدا به جای صورتِ بد، صورتِ کار خوب قرار می‌دهد؛ سیئات را به حسنات تبدیل می‌کند. خطا را برمی‌دارد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و جایش صورتِ کار خوب قرار می‌دهد. وقتی به پروندهٔ اعمالت در ملکوت نگاه می‌کنی، می‌پرسی اینها چیست؟ من این همه کار بد کرده بودم، حالا خوب شده‌اند! پاسخ در این توضیح این است که توبه کردی و خدا آن صورت‌ها را برداشت. از این جهت، در بحث بخشیدن تأکید شد که خودت هم کامل ببخشی و کامل درخواست بخشش کنی.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پس صورت ملکوتیِ بد را برمی‌دارد و صورت خوب می‌گذارد. [چند جمله و گفت‌وگوی کوتاه دربارهٔ بخشیدن از متن ماشینی قابل بازیابی نیست؛ به جای آنها متن حدسی نوشته نشده است.] حالا جمع‌بندی کنیم خدا در این مدل چه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اول، وقتی می‌گوییم خدایا ببخش ـ مثلاً در شب قدر ـ صورت ملکوتیِ کار بد برداشته می‌شود تا در آینده با آن روبه‌رو نشویم. دوم، به جای آن صورت خوب قرار می‌گیرد. برای توضیح، مثال طنزآمیزی از روبه‌روشدن با یک غذای خوب می‌زند: این جای همان کار بد است که به خوب تبدیل شده؛ نوش جان! [نام دقیق غذا در متن ماشینی نامطمئن است.] حالا سورهٔ زمر، آیهٔ ۳۵ را ببینیم؛ شمارهٔ صفحه در گفتار اصلاح می‌شود.</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رحمت و پاداش بر اساس بهترین عمل</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آیه بی‌نظیر است. خدا فوق‌العاده مهربان است. در زندگی کارهای بدی کرده‌ایم که خودمان هم از آنها ناراحتیم. گوینده یکی از مهم‌ترین کاستی‌ها را انجام‌ندادنِ عمل صالحِ خودمان می‌داند: در همین دنیا رنج می‌بریم که آن‌گونه که باید، نیستیم و استعدادمان را بالفعل نکرده‌ایم. بالقوه‌ماندن را از مهم‌ترین عذاب‌ها می‌نامد. بعد دربارهٔ آیه می‌گوید بدترین کارت را در نظر بگیر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در این توضیح، خدا همهٔ بدی‌ها را می‌بخشد و در مقابل، پاداش را بر پایهٔ بهترین کار می‌دهد: «وَيَجْزِيَهُمْ أَجْرَهُمْ بِأَحْسَنِ الَّذي كانُوا يَعْمَلُونَ» [بخشی از زمر، ۳۵]. بهترین نمازی را که خوانده‌ای در نظر بگیر؛ گوینده می‌گوید پاداش نمازهایت را در سطح بهترین نماز می‌دهد. [تعمیمِ این مثال، بیان تفسیری گوینده است و عبارت صریح آیه معرفی نشده است.] می‌پرسد دیگر چه می‌خواهی؟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رحمت این‌قدر گسترده است. برای همین، در تعبیر «لعنت» صرفاً فحش مطرح نیست؛ معنایش دوربودن از رحمت است: خدایا رحمتت شامل این رفتار یا اینان نشود. «بُعْدًا لِلْقَوْمِ الظّالِمينَ». ممکن است خدا رحم کند و ما در این دعا دوری از رحمت را بخواهیم؛ پس تعبیر سنگینی است. گوینده باز آن را به رفتارها برمی‌گرداند.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این توضیح، نباید به‌سادگی شخص را موضوع لعن قرار بدهیم، مگر آنجا که شخص خود مصداق آن عمل شده باشد. لعنت یعنی دورباد از رحمت خدا. حالا برای استفاده از اسم رحمان، صورت ملکیِ دعای ما باید در ملکوتِ خودمان با رحمت همراه باشد. نمی‌توانیم خودمان بی‌رحم باشیم و از اسم رحمت استفاده کنیم. گوینده می‌گوید در گام اول، خودمان در اجابت دعا نقش داریم.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بنابراین در گام اول باید دیگران را ببخشیم و آن اسم را در حد خودمان محقق کنیم؛ بعد خدا را با آن اسم بخوانیم. عالم ملکوت در این بحث، عالم اسماء است. با رفتار، اسم‌هایی را در خودمان محقق می‌کنیم و برای خواندن آن اسم باید، به تعبیر گوینده، با آن «هم‌فرکانس» شویم. پس در گام اول دیگران و در گام دوم خودمان را می‌بخشیم.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توضیحِ سازوکار دعا در مدل مورد بحث است؛ میان نتیجهٔ ملکیِ مطلوب ما و صورت ملکوتیِ محقق‌شده فاصله‌ای هست. تا اینجا دربارهٔ اعمال ناصالح بود؛ جلسهٔ بعد دربارهٔ اعمال صالح هم بیشتر صحبت می‌کنیم. مدل روشن شد؟ اگر سؤالی دارید بگویید؛ اگر لازم باشد بعداً بیشتر توضیح می‌دهم.</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گفت‌وگو دربارهٔ رنج، رحمت و دعا</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می‌خواستم دربارهٔ اتفاقاتی که برای مؤمن در دنیا می‌افتد نکته‌ای بگویم. در کتابی از علامه تهرانی [نام کتاب مشخص نیست] چنین نگاهی دیده‌ام که همهٔ اتفاق‌ها، حتی ناگوارها، می‌توانند برای مؤمن خیر باشند. دربارهٔ مؤمنان خالص هم روایتی با مضمونِ استقبال از بلا و شادشدن از آن نقل می‌شود؛ البته آن مرتبه بحث دیگری است. [متن دقیق و مأخذ روایت در گفتار موجود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معمولاً دنبال چرایی اتفاق می‌گردیم: به خاطر گناه من بود، لطف خداست یا امتحان؟ فارغ از اینکه علتش کدام است، ممکن است خدا بخواهد ما را به مسیر برگرداند. این برگشت می‌تواند رنجی داشته باشد که برای مؤمن نورانیت بیاورد. در مقابل، به آیاتی هم اشاره می‌شود که دربارهٔ برخورداری بعضی کافران در دنیا سخن می‌گویند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یعنی ممکن است در همین دنیا بهره‌مند شوند و حسابشان به شکلی تسویه شود. [ارجاع و تعبیر دقیق این بخش نامطمئن است؛ از آن حکم کلی دربارهٔ همهٔ افراد ساخته نشده است.] من مدتی با مسئلهٔ رنج مشکل داشتم و این نگاه خیلی کمکم کرد.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نگاه نسبت به رنج می‌تواند آن را قابل تحمل‌تر کند: اینکه خدا به تو توجه دارد و با این رنج مسیرت را اصلاح می‌کند. به روایتی دربارهٔ ابتلا هم اشاره می‌شود [لفظ و مأخذ نامشخص است]. حاج اسماعیل دولابی دربارهٔ تعبیر «ما أَصابَكُمْ مِنْ مُصيبَةٍ ...» توضیحی با مثال تیر و کمان داشته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می‌گفت «اصابت» یعنی نشانت گرفته؛ می‌خواهدت و به تو توجه دارد. [این انتساب و عبارت دقیق، مستقلاً بررسی نشده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من برای سبک زندگی خودم پیشنهادی دارم. اسم رحمت، اسم عامی است: «يا مَنْ وَسِعَتْ رَحْمَتُهُ كُلَّ شَيْءٍ» و «يا مَنْ سَبَقَتْ رَحْمَتُهُ غَضَبَهُ». [صورت قابل شناسایی دعا بازنویسی شده؛ مأخذ و ضبط صوتی تأیید نشده است.] برویم به سمت این اسم؛ بگوییم خدایا اگر می‌خواهی ادب کنی، با مهربانی. من طاقت زیادی ندارم.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نگوییم حتماً بلا بیاور تا ادب شویم؛ بگوییم من طاقت این شکلِ تأدیب را ندارم. می‌توانیم با خدا ناز هم داشته باشیم. رنج‌کشیدن آسان نیست؛ انگار سلول‌های وجود از هم می‌پاشد. بگوییم خدایا اگر بیشتر شود، می‌بُرم؛ با مهربانی دستم را بگیر. برویم سمت اسم رحمت؛ به جای تندی، با لطف بگو پایت را جمع کن و به مسیر برگرد.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بگوییم با من مهربان باش؛ من هم می‌خواهم با همه مهربان باشم. تو دانا و توانایی؛ مهربان هم باش. مثل آدم می‌آییم؛ آدم چطور آمد؟ «رَبَّنا ظَلَمْنا أَنْفُسَنا وَإِنْ لَمْ تَغْفِرْ لَنا وَتَرْحَمْنا لَنَكُونَنَّ مِنَ الْخاسِرينَ» [اعراف، ۲۳]. یعنی اعتراف کنیم خطا کرده‌ایم. شاید روزی صد بار؛ چون نمی‌دانیم چه کارهایی می‌کنیم. حتی اگر خطایمان را دقیق نمی‌شناسیم، از خدا رحمت بخواهیم.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تو با ما مهربان باش و هوای ما را داشته باش؛ کسی را نداریم و در این سفر خیلی تنهاییم. تو که به آن ملکوت دسترسی داری مراقبمان باش. هیچ‌کس نمی‌تواند کاملاً در سفر شخصی ما شریک شود یا بداند در چه منزلی هستیم و نسبت هر رفتار با وضعیت ما چیست. روی این اسم جامع رحمت تأکید می‌کنم. در گفتار اشاره می‌شود که ماه رجب، ماه رحمت و مهربانی است. [این اشاره، زمانِ خود جلسه است، نه تاریخ بارگذاری فایل.]</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امشب هم شب جمعه است؛ شب رحمت. این اسم مهم است. قبلاً احتمالاً گفته‌ام در خواسته‌ات به یک اسم نزدیک می‌شوی و از آن می‌خواهی. در مدل گوینده، برای هر کاری هر اسمی را فراخوان نمی‌کنیم؛ هر اسم پشت سرش سازوکاری دارد. وقتی می‌گویی «یا رحمان»، از رحمت می‌خواهی. اگر با تعبیر «قاصم الجبارین» درخواست بخشش کنی، نسبتِ اسم با خواسته‌ات متفاوت می‌شود. [لفظ دقیقِ عبارت عربیِ دوم در صوت تطبیق نشده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آیات هم از هر دو وجه سخن می‌گویند: «نَبِّئْ عِبادي أَنّي أَنَا الْغَفُورُ الرَّحيمُ * وَأَنَّ عَذابي هُوَ الْعَذابُ الْأَليمُ» [حجر، ۴۹–۵۰]. گوینده توجه می‌دهد که در بخش اول، خود را غفور و رحیم معرفی می‌کند و در بخش دوم از عذاب خود سخن می‌گوید. عذاب و تربیت را هم می‌پذیریم، اما این اسم جامعِ رحمت برای بحث ما مهم است: کدام اسم، برای کدام دعا و کدام نتیجه؟</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پرسش پایانی دربارهٔ داوری و حکومت</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این مدل، از همهٔ اسم‌ها برای همهٔ نتایج استفاده نمی‌شود. اول باید در حد خودمان با آن اسم همراه شویم، آن را بخوانیم و از سازوکار مربوط به آن بهره ببریم. برای امروز کافی است؛ دست شما درد نکند. فکر می‌کنم چند دقیقه از وقت گذشت. سؤال دیگری هست؟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چیزی می‌خواهم بپرسم؛ می‌توانید پاسخ بدهید یا ندهید. می‌خواهم موضوع را کمی از حالت شخصی بیرون بیاورم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من جلسهٔ اول شرکت کردم. با همین آیه‌هایی که خواندید و توضیح دادید، در وضعیت حکومت اسلامیِ فعلی تناقض و تضاد می‌بینم. مثلاً به حصر فکر می‌کردم؛ [نام‌ها در متن ماشینی «مصطوی و کردوبی و خانوی» ثبت شده‌اند و اینجا حدس زده نشده‌اند]. اینکه برای جلوگیری از جابه‌جایی قدرت، زندگی کسی را تحت تأثیر قرار بدهند ... [ضبط دقیق بخشی از عبارت نامطمئن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وقتی با این آیات تطبیق می‌دهیم، می‌پرسیم چه حقی دارند؟ پیش‌تر هم نمونهٔ آقای منتظری بوده است. گاهی فکر می‌کنم اگر این حکومت نبود، شاید این افراد جایگاه دیگری داشتند. وقتی زندگی‌نامهٔ آقای منتظری را می‌خواندم، فکر می‌کردم اگر حکومت شاه، یا به تعبیر رایج «طاغوت»، ادامه پیدا می‌کرد، او به‌عنوان عالم جایگاه ویژه‌ای می‌داشت.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بر اساس قدرت و قضاوت خودمان، سال‌ها از زندگی بعضی افراد و برخی حقوق طبیعی‌شان را می‌گیریم؛ این آزارم می‌دهد. این چند مثال الان به ذهنم رسید، اما نمونه‌ها زیاد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باید کوتاه و کلی پاسخ بدهم. یکی اینکه به خودمان بپردازیم و مدام خودمان را بررسی کنیم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حتی اگر هزاران نفر به ضلالت و گمراهی بروند، قرار نیست بارِ انتخاب و ظلم آنان را بی‌جهت روی دوش خودمان بگذاریم. همان‌طور که میان انسان و کار او تمایز گذاشتیم، گوینده با تصریح به تسامح، اینجا هم می‌گوید به جای برچسب کلیِ خوب و بد به حکومت‌ها، کارهای خوب و بد در آنها را بررسی کنیم. [در متن ماشینی، نفیِ «کارهای خوب و بد وجود ندارند» آمده بود که با تمام توضیح قبل و بعد ناسازگار است؛ این بند بر اساس سیاق اصلاح شده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اگر تشخیص می‌دهیم کاری حق است، از آن دفاع کنیم؛ اگر ناحق است، از آن تبری بجوییم؛ اگر نمی‌دانیم، سکوت کنیم. چون موضع‌گیریِ ما هم بار دارد. روایتی با مضمونِ شریک‌شدنِ راضی به عمل یک قوم در آن عمل نقل می‌شود [متن عربی و مأخذ در گفتار مشخص نیست]. گاهی بارکشِ تأییدها و ردهای خودمان هستیم؛ پس اول به خودمان بپردازیم و در قبال کار دیگران آگاهانه رفتار 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منظورم را متوجه شدید؟ می‌خواهم بگویم در سطح بالا این تأکیدِ پرداختن به خود دیده نمی‌شود؛ از همین منظر به آن حصرها نگاه می‌کنم. اگر خودت را بررسی می‌کردی، چنین نمی‌کردی.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این همان نکته‌ای است که گام اول می‌نامم؛ جلسهٔ قبل هم مفصل درباره‌اش صحبت کردیم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هرچه اینجا می‌شنویم، خط‌کشی برای استفاده دربارهٔ خودمان است. در گامی که اکنون پیش می‌رویم، قرار نیست فوراً آن را وسیلهٔ داوری دربارهٔ اشخاص، حکومت‌ها یا رفتارهای دیگران کنیم؛ نه لزوماً جایگاهش را داریم، نه اطلاعات کافی. [یک واژهٔ فهرست در متن ماشینی روشن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پس نسبت به هیچ چیز موضع نداشته باشیم؟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می‌گویم در بسیاری از مواردِ مربوط به دیگران، وقتی اشراف نداریم سکوت ارجح است. اگر به حق‌بودن کاری اشراف و اطمینان داریم، دفاع کنیم؛ اگر به ناحق‌بودنش اشراف داریم، تبری بجوییم؛ و اگر در هیچ‌کدام اشراف نداریم، لازم نیست حتماً موضع یا بیانیه‌ای بدهیم. ببخشید مزاحمتان شدیم؛ اگر حرف و نکته‌ای بود بگویید. سلامت باشید، خداحافظ. [چند عبارتِ خداحافظی در متن ماشینی روشن نیست.]</w:t>
      </w:r>
      <w:r>
        <w:rPr>
          <w:rFonts w:ascii="Vazirmatn" w:hAnsi="Vazirmatn" w:eastAsia="Vazirmatn" w:cs="Vazirmatn"/>
          <w:sz w:val="25"/>
          <w:szCs w:val="25"/>
          <w:rtl w:val="1"/>
          <w:b w:val="0"/>
          <w:bCs w:val="0"/>
          <w:lang w:val="fa-IR" w:bidi="fa-IR"/>
          <w:color w:val="000000"/>
        </w:rPr>
        <w:t>‬</w:t>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EmbedRegular" w:fontKey="{2A3B8358-09BE-4C91-BC33-BA7BE7A62106}"/>
    <w:embedBold r:id="rIdEmbedBold" w:fontKey="{5FB87130-F380-4B9A-947B-2C3021C9D1EF}"/>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r>
      <w:rPr>
        <w:rFonts w:ascii="Vazirmatn" w:hAnsi="Vazirmatn" w:eastAsia="Vazirmatn" w:cs="Vazirmatn"/>
        <w:sz w:val="18"/>
        <w:szCs w:val="18"/>
        <w:rtl w:val="1"/>
        <w:b w:val="0"/>
        <w:bCs w:val="0"/>
        <w:lang w:val="fa-IR" w:bidi="fa-IR"/>
        <w:color w:val="00000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azirmatn" w:hAnsi="Vazirmatn" w:eastAsia="Vazirmatn" w:cs="Vazirmatn"/>
        <w:sz w:val="25"/>
        <w:szCs w:val="25"/>
        <w:lang w:val="fa-IR" w:eastAsia="en-US" w:bidi="fa-IR"/>
        <w:rtl w:val="1"/>
        <w:b w:val="0"/>
        <w:bCs w:val="0"/>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0"/>
      <w:jc w:val="right"/>
    </w:pPr>
    <w:rPr>
      <w:rFonts w:ascii="Vazirmatn" w:hAnsi="Vazirmatn" w:eastAsia="Vazirmatn" w:cs="Vazirmatn"/>
      <w:color w:val="000000"/>
      <w:sz w:val="25"/>
      <w:szCs w:val="25"/>
      <w:rtl w:val="1"/>
      <w:b w:val="0"/>
      <w:bCs w:val="0"/>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bidi w:val="0"/>
      <w:keepNext w:val="1"/>
      <w:keepLines/>
      <w:spacing w:before="480" w:after="0"/>
      <w:outlineLvl w:val="0"/>
      <w:jc w:val="right"/>
    </w:pPr>
    <w:rPr>
      <w:rFonts w:ascii="Vazirmatn" w:hAnsi="Vazirmatn" w:eastAsia="Vazirmatn" w:cs="Vazirmatn"/>
      <w:b w:val="1"/>
      <w:bCs w:val="1"/>
      <w:color w:val="000000"/>
      <w:sz w:val="30"/>
      <w:szCs w:val="30"/>
      <w:rtl w:val="1"/>
      <w:lang w:val="fa-IR" w:bidi="fa-IR"/>
    </w:rPr>
  </w:style>
  <w:style w:type="paragraph" w:styleId="Heading2">
    <w:name w:val="heading 2"/>
    <w:basedOn w:val="Normal"/>
    <w:next w:val="Normal"/>
    <w:link w:val="Heading2Char"/>
    <w:uiPriority w:val="9"/>
    <w:unhideWhenUsed/>
    <w:qFormat/>
    <w:rsid w:val="00FC693F"/>
    <w:pPr>
      <w:bidi w:val="0"/>
      <w:keepNext w:val="1"/>
      <w:keepLines/>
      <w:spacing w:before="200" w:after="0"/>
      <w:outlineLvl w:val="1"/>
      <w:jc w:val="right"/>
    </w:pPr>
    <w:rPr>
      <w:rFonts w:ascii="Vazirmatn" w:hAnsi="Vazirmatn" w:eastAsia="Vazirmatn" w:cs="Vazirmatn"/>
      <w:b w:val="1"/>
      <w:bCs w:val="1"/>
      <w:color w:val="000000"/>
      <w:sz w:val="26"/>
      <w:szCs w:val="26"/>
      <w:rtl w:val="1"/>
      <w:lang w:val="fa-IR" w:bidi="fa-IR"/>
    </w:rPr>
  </w:style>
  <w:style w:type="paragraph" w:styleId="Heading3">
    <w:name w:val="heading 3"/>
    <w:basedOn w:val="Normal"/>
    <w:next w:val="Normal"/>
    <w:link w:val="Heading3Char"/>
    <w:uiPriority w:val="9"/>
    <w:unhideWhenUsed/>
    <w:qFormat/>
    <w:rsid w:val="00FC693F"/>
    <w:pPr>
      <w:bidi w:val="0"/>
      <w:keepNext w:val="1"/>
      <w:keepLines/>
      <w:spacing w:before="200" w:after="0"/>
      <w:outlineLvl w:val="2"/>
      <w:jc w:val="right"/>
    </w:pPr>
    <w:rPr>
      <w:rFonts w:ascii="Vazirmatn" w:hAnsi="Vazirmatn" w:eastAsia="Vazirmatn" w:cs="Vazirmatn"/>
      <w:b w:val="1"/>
      <w:bCs w:val="1"/>
      <w:color w:val="000000"/>
      <w:sz w:val="24"/>
      <w:szCs w:val="24"/>
      <w:rtl w:val="1"/>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bidi w:val="0"/>
      <w:spacing w:after="300" w:line="240" w:lineRule="auto"/>
      <w:contextualSpacing/>
      <w:keepNext w:val="1"/>
      <w:jc w:val="right"/>
    </w:pPr>
    <w:rPr>
      <w:rFonts w:ascii="Vazirmatn" w:hAnsi="Vazirmatn" w:eastAsia="Vazirmatn" w:cs="Vazirmatn"/>
      <w:color w:val="000000"/>
      <w:spacing w:val="5"/>
      <w:kern w:val="28"/>
      <w:sz w:val="38"/>
      <w:szCs w:val="38"/>
      <w:rtl w:val="1"/>
      <w:b w:val="1"/>
      <w:bCs w:val="1"/>
      <w:lang w:val="fa-IR" w:bidi="fa-I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hahbazi-Amir/vid_pipeline/blob/work/quran-archive-transcription/outputs/quran-archive/texts/lecture-02-original.md" TargetMode="External"/><Relationship Id="rId11" Type="http://schemas.openxmlformats.org/officeDocument/2006/relationships/hyperlink" Target="https://github.com/Shahbazi-Amir/vid_pipeline/blob/work/quran-archive-transcription/outputs/quran-archive/02/transcript.timestamped.md" TargetMode="External"/><Relationship Id="rId12" Type="http://schemas.openxmlformats.org/officeDocument/2006/relationships/hyperlink" Target="https://github.com/Shahbazi-Amir/vid_pipeline/blob/work/quran-archive-transcription/outputs/quran-archive/REVIEW_NOTES.md" TargetMode="External"/></Relationships>
</file>

<file path=word/_rels/fontTable.xml.rels><?xml version='1.0' encoding='UTF-8' standalone='yes'?>
<Relationships xmlns="http://schemas.openxmlformats.org/package/2006/relationships"><Relationship Id="rIdEmbedRegular" Type="http://schemas.openxmlformats.org/officeDocument/2006/relationships/font" Target="fonts/regular.odttf"/><Relationship Id="rIdEmbedBold" Type="http://schemas.openxmlformats.org/officeDocument/2006/relationships/font" Target="fonts/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نگاه قرآنی به رسالت انسانی — جلسهٔ دوم</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