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60" w:before="0"/>
        <w:jc w:val="center"/>
      </w:pPr>
      <w:r>
        <w:rPr>
          <w:rFonts w:ascii="Arial" w:cs="Arial" w:eastAsia="Arial" w:hAnsi="Arial"/>
          <w:b/>
          <w:bCs/>
          <w:color w:val="00695C"/>
          <w:sz w:val="20"/>
          <w:szCs w:val="20"/>
        </w:rPr>
        <w:t xml:space="preserve">FACULTY OF COMPUTERS AND INFORMATION - GRADUATION PROJECT</w:t>
      </w:r>
    </w:p>
    <w:p>
      <w:pPr>
        <w:spacing w:after="100" w:before="300"/>
        <w:jc w:val="center"/>
      </w:pPr>
      <w:r>
        <w:rPr>
          <w:rFonts w:ascii="Arial" w:cs="Arial" w:eastAsia="Arial" w:hAnsi="Arial"/>
          <w:b/>
          <w:bCs/>
          <w:color w:val="003366"/>
          <w:sz w:val="80"/>
          <w:szCs w:val="80"/>
        </w:rPr>
        <w:t xml:space="preserve">KEMET1</w:t>
      </w:r>
    </w:p>
    <w:p>
      <w:pPr>
        <w:spacing w:after="80" w:before="0"/>
        <w:jc w:val="center"/>
      </w:pPr>
      <w:r>
        <w:rPr>
          <w:rFonts w:ascii="Arial" w:cs="Arial" w:eastAsia="Arial" w:hAnsi="Arial"/>
          <w:b/>
          <w:bCs/>
          <w:color w:val="00695C"/>
          <w:sz w:val="34"/>
          <w:szCs w:val="34"/>
        </w:rPr>
        <w:t xml:space="preserve">Agricultural Encroachment Detection System</w:t>
      </w:r>
    </w:p>
    <w:p>
      <w:pPr>
        <w:spacing w:after="80" w:before="0"/>
      </w:pPr>
      <w:r>
        <w:t xml:space="preserve"/>
      </w:r>
    </w:p>
    <w:p>
      <w:pPr>
        <w:pBdr>
          <w:top w:val="single" w:color="00695C" w:sz="4"/>
          <w:bottom w:val="single" w:color="00695C" w:sz="4"/>
        </w:pBdr>
        <w:spacing w:after="60" w:before="60"/>
        <w:jc w:val="center"/>
      </w:pPr>
      <w:r>
        <w:rPr>
          <w:rFonts w:ascii="Arial" w:cs="Arial" w:eastAsia="Arial" w:hAnsi="Arial"/>
          <w:b/>
          <w:bCs/>
          <w:color w:val="37474F"/>
          <w:sz w:val="28"/>
          <w:szCs w:val="28"/>
        </w:rPr>
        <w:t xml:space="preserve">Datasets, Data Sources and Model Performance Report</w:t>
      </w:r>
    </w:p>
    <w:p>
      <w:pPr>
        <w:spacing w:after="80" w:before="0"/>
      </w:pPr>
      <w:r>
        <w:t xml:space="preserve"/>
      </w:r>
    </w:p>
    <w:p>
      <w:pPr>
        <w:spacing w:after="80" w:before="0"/>
      </w:pPr>
      <w:r>
        <w:t xml:space="preserve"/>
      </w:r>
    </w:p>
    <w:p>
      <w:pPr>
        <w:jc w:val="center"/>
      </w:pPr>
      <w:r>
        <w:rPr>
          <w:rFonts w:ascii="Arial" w:cs="Arial" w:eastAsia="Arial" w:hAnsi="Arial"/>
          <w:i/>
          <w:iCs/>
          <w:color w:val="455A64"/>
          <w:sz w:val="20"/>
          <w:szCs w:val="20"/>
        </w:rPr>
        <w:t xml:space="preserve">All Training Datasets, Pre-trained Weights, and KEMET1 Evaluation Results</w:t>
      </w:r>
    </w:p>
    <w:p>
      <w:pPr>
        <w:jc w:val="center"/>
      </w:pPr>
      <w:r>
        <w:rPr>
          <w:rFonts w:ascii="Arial" w:cs="Arial" w:eastAsia="Arial" w:hAnsi="Arial"/>
          <w:color w:val="455A64"/>
          <w:sz w:val="20"/>
          <w:szCs w:val="20"/>
        </w:rPr>
        <w:t xml:space="preserve">June 2025</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 Introduction and System Overview</w:t>
      </w:r>
    </w:p>
    <w:p>
      <w:pPr>
        <w:spacing w:after="100" w:before="60"/>
        <w:jc w:val="both"/>
      </w:pPr>
      <w:r>
        <w:rPr>
          <w:rFonts w:ascii="Arial" w:cs="Arial" w:eastAsia="Arial" w:hAnsi="Arial"/>
          <w:b w:val="false"/>
          <w:bCs w:val="false"/>
          <w:i w:val="false"/>
          <w:iCs w:val="false"/>
          <w:color w:val="1A1A1A"/>
          <w:sz w:val="20"/>
          <w:szCs w:val="20"/>
        </w:rPr>
        <w:t xml:space="preserve">The KEMET1 system is an end-to-end AI pipeline for detecting agricultural land encroachment in Egypt's Nile Delta using multi-temporal Sentinel-2 satellite imagery. The system spans 8 processing steps and draws on five distinct datasets: four pre-trained benchmark datasets whose weights power intermediate steps, and one custom-collected dataset (KEMET1 BeforeAfter) designed specifically for the Nile Delta classification task.</w:t>
      </w:r>
    </w:p>
    <w:p>
      <w:pPr>
        <w:spacing w:after="80" w:before="0"/>
      </w:pPr>
      <w:r>
        <w:t xml:space="preserve"/>
      </w:r>
    </w:p>
    <w:p>
      <w:pPr>
        <w:spacing w:after="100" w:before="60"/>
        <w:jc w:val="both"/>
      </w:pPr>
      <w:r>
        <w:rPr>
          <w:rFonts w:ascii="Arial" w:cs="Arial" w:eastAsia="Arial" w:hAnsi="Arial"/>
          <w:b w:val="false"/>
          <w:bCs w:val="false"/>
          <w:i w:val="false"/>
          <w:iCs w:val="false"/>
          <w:color w:val="1A1A1A"/>
          <w:sz w:val="20"/>
          <w:szCs w:val="20"/>
        </w:rPr>
        <w:t xml:space="preserve">This document describes every dataset: its origin, structure, data type, resolution, annotation format, the model it powers, and all performance metrics. All graphs, confusion matrices, ROC curves, and site visualizations shown for KEMET1 BeforeAfter are produced from our actual training and evaluation runs.</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1.1 Pipeline and Dataset Overview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100"/>
        <w:gridCol w:w="2760"/>
      </w:tblGrid>
      <w:tr>
        <w:trPr>
          <w:tblHeader/>
        </w:trPr>
        <w:tc>
          <w:tcPr>
            <w:tcW w:type="dxa" w:w="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1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31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 Used</w:t>
            </w:r>
          </w:p>
        </w:tc>
        <w:tc>
          <w:tcPr>
            <w:tcW w:type="dxa" w:w="27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r>
      <w:tr>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01</w:t>
            </w:r>
          </w:p>
        </w:tc>
        <w:tc>
          <w:tcPr>
            <w:tcW w:type="dxa" w:w="2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Satellite Data Acquisition</w:t>
            </w:r>
          </w:p>
        </w:tc>
        <w:tc>
          <w:tcPr>
            <w:tcW w:type="dxa" w:w="3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Sentinel-2 via Google Earth Engine</w:t>
            </w:r>
          </w:p>
        </w:tc>
        <w:tc>
          <w:tcPr>
            <w:tcW w:type="dxa" w:w="2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GEE Python API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 Detection and Masking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38-Cloud (Landsat 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U-Net + ResNet34</w:t>
            </w:r>
          </w:p>
        </w:tc>
      </w:tr>
      <w:tr>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03</w:t>
            </w:r>
          </w:p>
        </w:tc>
        <w:tc>
          <w:tcPr>
            <w:tcW w:type="dxa" w:w="2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 Removal</w:t>
            </w:r>
          </w:p>
        </w:tc>
        <w:tc>
          <w:tcPr>
            <w:tcW w:type="dxa" w:w="3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 - algorithmic</w:t>
            </w:r>
          </w:p>
        </w:tc>
        <w:tc>
          <w:tcPr>
            <w:tcW w:type="dxa" w:w="2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OpenCV Telea Inpainting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Spectral Index Computation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KEMET1 BeforeAfter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NumPy (6 indices)</w:t>
            </w:r>
          </w:p>
        </w:tc>
      </w:tr>
      <w:tr>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05</w:t>
            </w:r>
          </w:p>
        </w:tc>
        <w:tc>
          <w:tcPr>
            <w:tcW w:type="dxa" w:w="2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Pixel-level Change Detection</w:t>
            </w:r>
          </w:p>
        </w:tc>
        <w:tc>
          <w:tcPr>
            <w:tcW w:type="dxa" w:w="3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LEVIR-CD</w:t>
            </w:r>
          </w:p>
        </w:tc>
        <w:tc>
          <w:tcPr>
            <w:tcW w:type="dxa" w:w="2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ChangeFormer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Agricultural Land Segmentation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ADE20K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SegFormer-B4</w:t>
            </w:r>
          </w:p>
        </w:tc>
      </w:tr>
      <w:tr>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w:t>
            </w:r>
          </w:p>
        </w:tc>
        <w:tc>
          <w:tcPr>
            <w:tcW w:type="dxa" w:w="2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Building Footprint Detection</w:t>
            </w:r>
          </w:p>
        </w:tc>
        <w:tc>
          <w:tcPr>
            <w:tcW w:type="dxa" w:w="3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SpaceNet v2</w:t>
            </w:r>
          </w:p>
        </w:tc>
        <w:tc>
          <w:tcPr>
            <w:tcW w:type="dxa" w:w="2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YOLOv8m-seg + SAM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Encroachment Classification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KEMET1 BeforeAfter (custom Nile Delta)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 Forest</w:t>
            </w:r>
          </w:p>
        </w:tc>
      </w:tr>
    </w:tbl>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06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w:t>
            </w:r>
          </w:p>
        </w:tc>
        <w:tc>
          <w:tcPr>
            <w:tcW w:type="dxa" w:w="3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in Pipeline</w:t>
            </w:r>
          </w:p>
        </w:tc>
        <w:tc>
          <w:tcPr>
            <w:tcW w:type="dxa" w:w="30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Final Train/Val/Test?</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38-Cloud</w:t>
            </w:r>
          </w:p>
        </w:tc>
        <w:tc>
          <w:tcPr>
            <w:tcW w:type="dxa" w:w="3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Pre-trained cloud detector</w:t>
            </w:r>
          </w:p>
        </w:tc>
        <w:tc>
          <w:tcPr>
            <w:tcW w:type="dxa" w:w="30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 published benchmark weights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LEVIR-CD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Pre-trained change detector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 published benchmark weights only</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ADE20K</w:t>
            </w:r>
          </w:p>
        </w:tc>
        <w:tc>
          <w:tcPr>
            <w:tcW w:type="dxa" w:w="3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Pre-trained land segmenter</w:t>
            </w:r>
          </w:p>
        </w:tc>
        <w:tc>
          <w:tcPr>
            <w:tcW w:type="dxa" w:w="30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 published benchmark weights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SpaceNet v2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Pre-trained building detector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 published benchmark weights only</w:t>
            </w:r>
          </w:p>
        </w:tc>
      </w:tr>
      <w:tr>
        <w:tc>
          <w:tcPr>
            <w:tcW w:type="dxa" w:w="22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KEMET1 BeforeAfter</w:t>
            </w:r>
          </w:p>
        </w:tc>
        <w:tc>
          <w:tcPr>
            <w:tcW w:type="dxa" w:w="35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Custom Nile Delta RF classifier</w:t>
            </w:r>
          </w:p>
        </w:tc>
        <w:tc>
          <w:tcPr>
            <w:tcW w:type="dxa" w:w="306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YES - all training, validation, and testing</w:t>
            </w:r>
          </w:p>
        </w:tc>
      </w:tr>
    </w:tbl>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2. 38-Cloud Dataset - Cloud Detection (Step 02)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Name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38-Cloud: A Cloud Segmentation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Authors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Mohajerani and Saeedi (2019), Simon Fraser University</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Source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Landsat 8 Collection 1 - USGS EarthExplorer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Dataset Size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 Landsat 8 scenes; 8,400 training patches + 9,201 test patches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Patch Size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384 x 384 pixels per patch, 4 spectral bands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Sensor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Landsat 8 OLI - Bands 2,3,4,5 (Blue, Green, Red, NIR)</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Spatial Resolution</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30 m/pixel ground sampling distance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Annotation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Pixel-level binary mask: cloud (1) vs. clear sky (0)</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File Format</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GeoTIFF 4-band input + PNG binary mask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Access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github.com/SorourMo/38-Cloud-A-Cloud-Segmentation-Dataset</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2.1 Dataset Description</w:t>
      </w:r>
    </w:p>
    <w:p>
      <w:pPr>
        <w:spacing w:after="100" w:before="60"/>
        <w:jc w:val="both"/>
      </w:pPr>
      <w:r>
        <w:rPr>
          <w:rFonts w:ascii="Arial" w:cs="Arial" w:eastAsia="Arial" w:hAnsi="Arial"/>
          <w:b w:val="false"/>
          <w:bCs w:val="false"/>
          <w:i w:val="false"/>
          <w:iCs w:val="false"/>
          <w:color w:val="1A1A1A"/>
          <w:sz w:val="20"/>
          <w:szCs w:val="20"/>
        </w:rPr>
        <w:t xml:space="preserve">38-Cloud contains 38 Landsat 8 Level-1 scenes from diverse geographic regions with varied cloud types including thin cloud, thick cloud, cloud shadow, and snow. Each scene was manually annotated at pixel level. Training patches are 384x384 crops with 4 spectral channels.</w:t>
      </w:r>
    </w:p>
    <w:p>
      <w:pPr>
        <w:pStyle w:val="Heading2"/>
        <w:spacing w:after="120" w:before="280"/>
      </w:pPr>
      <w:r>
        <w:rPr>
          <w:rFonts w:ascii="Arial" w:cs="Arial" w:eastAsia="Arial" w:hAnsi="Arial"/>
          <w:b/>
          <w:bCs/>
          <w:color w:val="00695C"/>
          <w:sz w:val="28"/>
          <w:szCs w:val="28"/>
        </w:rPr>
        <w:t xml:space="preserve">2.2 Model: U-Net + ResNet34</w:t>
      </w:r>
    </w:p>
    <w:p>
      <w:pPr>
        <w:spacing w:after="100" w:before="60"/>
        <w:jc w:val="both"/>
      </w:pPr>
      <w:r>
        <w:rPr>
          <w:rFonts w:ascii="Arial" w:cs="Arial" w:eastAsia="Arial" w:hAnsi="Arial"/>
          <w:b w:val="false"/>
          <w:bCs w:val="false"/>
          <w:i w:val="false"/>
          <w:iCs w:val="false"/>
          <w:color w:val="1A1A1A"/>
          <w:sz w:val="20"/>
          <w:szCs w:val="20"/>
        </w:rPr>
        <w:t xml:space="preserve">The cloud detection model uses a U-Net with ResNet34 encoder pre-trained on ImageNet, then fine-tuned end-to-end on 38-Cloud. In KEMET1 Step 02, Sentinel-2 SCL band classes 3 (cloud shadow), 7 (unclassified), 8 (medium-probability cloud), 9 (high-probability cloud), and 10 (thin cirrus) are masked. Tile pairs with more than 15% cloud coverage are rejected entirely.</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2.3 Published Performance on 38-Cloud Test Set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76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37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F1 Score</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92.1%</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Primary benchmark metric for cloud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91.7%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Cloud-positive precision</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Recall</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89.4%</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Cloud-positive recall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IoU (cloud class)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85.3%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Jaccard index for cloud pixels</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Overall Pixel Accuracy</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96.8%</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Including non-cloud background pixels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KEMET1 cloud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Sites above this threshold are skipped</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2.4 Data Type and Preprocessing</w:t>
      </w:r>
    </w:p>
    <w:p>
      <w:pPr>
        <w:pStyle w:val="ListParagraph"/>
        <w:numPr>
          <w:ilvl w:val="0"/>
          <w:numId w:val="2"/>
        </w:numPr>
        <w:spacing w:after="40" w:before="40"/>
      </w:pPr>
      <w:r>
        <w:rPr>
          <w:rFonts w:ascii="Arial" w:cs="Arial" w:eastAsia="Arial" w:hAnsi="Arial"/>
          <w:color w:val="1A1A1A"/>
          <w:sz w:val="20"/>
          <w:szCs w:val="20"/>
        </w:rPr>
        <w:t xml:space="preserve">Input: 4-band uint16 GeoTIFF (B2=Blue, B3=Green, B4=Red, B5=NIR), values 0-65535</w:t>
      </w:r>
    </w:p>
    <w:p>
      <w:pPr>
        <w:pStyle w:val="ListParagraph"/>
        <w:numPr>
          <w:ilvl w:val="0"/>
          <w:numId w:val="2"/>
        </w:numPr>
        <w:spacing w:after="40" w:before="40"/>
      </w:pPr>
      <w:r>
        <w:rPr>
          <w:rFonts w:ascii="Arial" w:cs="Arial" w:eastAsia="Arial" w:hAnsi="Arial"/>
          <w:color w:val="1A1A1A"/>
          <w:sz w:val="20"/>
          <w:szCs w:val="20"/>
        </w:rPr>
        <w:t xml:space="preserve">Normalization: divide by 65535 to map to [0.0, 1.0] float32</w:t>
      </w:r>
    </w:p>
    <w:p>
      <w:pPr>
        <w:pStyle w:val="ListParagraph"/>
        <w:numPr>
          <w:ilvl w:val="0"/>
          <w:numId w:val="2"/>
        </w:numPr>
        <w:spacing w:after="40" w:before="40"/>
      </w:pPr>
      <w:r>
        <w:rPr>
          <w:rFonts w:ascii="Arial" w:cs="Arial" w:eastAsia="Arial" w:hAnsi="Arial"/>
          <w:color w:val="1A1A1A"/>
          <w:sz w:val="20"/>
          <w:szCs w:val="20"/>
        </w:rPr>
        <w:t xml:space="preserve">Training augmentation: horizontal/vertical flip, random 90-degree rotation, brightness jitter</w:t>
      </w:r>
    </w:p>
    <w:p>
      <w:pPr>
        <w:pStyle w:val="ListParagraph"/>
        <w:numPr>
          <w:ilvl w:val="0"/>
          <w:numId w:val="2"/>
        </w:numPr>
        <w:spacing w:after="40" w:before="40"/>
      </w:pPr>
      <w:r>
        <w:rPr>
          <w:rFonts w:ascii="Arial" w:cs="Arial" w:eastAsia="Arial" w:hAnsi="Arial"/>
          <w:color w:val="1A1A1A"/>
          <w:sz w:val="20"/>
          <w:szCs w:val="20"/>
        </w:rPr>
        <w:t xml:space="preserve">Label: binary mask per pixel - 1=cloud, 0=clear sky or land surface</w:t>
      </w:r>
    </w:p>
    <w:p>
      <w:pPr>
        <w:pStyle w:val="ListParagraph"/>
        <w:numPr>
          <w:ilvl w:val="0"/>
          <w:numId w:val="2"/>
        </w:numPr>
        <w:spacing w:after="40" w:before="40"/>
      </w:pPr>
      <w:r>
        <w:rPr>
          <w:rFonts w:ascii="Arial" w:cs="Arial" w:eastAsia="Arial" w:hAnsi="Arial"/>
          <w:color w:val="1A1A1A"/>
          <w:sz w:val="20"/>
          <w:szCs w:val="20"/>
        </w:rPr>
        <w:t xml:space="preserve">Output used in KEMET1: binary cloud coverage percentage; pixels flagged as cloud are zeroed before feature extraction</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3. LEVIR-CD Dataset - Change Detection (Step 05)</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Name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LEVIR-CD: A Large-scale Remote Sensing Change Detection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Authors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Chen et al. (2021) - Wuhan University, China</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Published</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Remote Sensing, 13(5), Article 942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Source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Google Earth high-resolution imagery, multiple Chinese cities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Dataset Size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637 bi-temporal image pairs; ~7,100 train / 1,024 val / 2,048 test patches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Original Image Size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1024 x 1024 pixels (cropped to 256x256 for training)</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Spatial Resolution</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0.5 m/pixel - very high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Temporal Gap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Average 5 years (images from 2002 to 2018)</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Annotation</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Pixel-level binary mask: building change (1) vs. no change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File Format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PNG RGB pairs T1/T2 + binary PNG change mask</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Access</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justchenhao.github.io/LEVIR/</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3.1 Dataset Description</w:t>
      </w:r>
    </w:p>
    <w:p>
      <w:pPr>
        <w:spacing w:after="100" w:before="60"/>
        <w:jc w:val="both"/>
      </w:pPr>
      <w:r>
        <w:rPr>
          <w:rFonts w:ascii="Arial" w:cs="Arial" w:eastAsia="Arial" w:hAnsi="Arial"/>
          <w:b w:val="false"/>
          <w:bCs w:val="false"/>
          <w:i w:val="false"/>
          <w:iCs w:val="false"/>
          <w:color w:val="1A1A1A"/>
          <w:sz w:val="20"/>
          <w:szCs w:val="20"/>
        </w:rPr>
        <w:t xml:space="preserve">LEVIR-CD provides urban building change detection annotations across multiple Chinese cities, capturing densification, suburban sprawl, and construction on vacant land - directly analogous to detecting new construction on Egyptian agricultural plots.</w:t>
      </w:r>
    </w:p>
    <w:p>
      <w:pPr>
        <w:pStyle w:val="Heading2"/>
        <w:spacing w:after="120" w:before="280"/>
      </w:pPr>
      <w:r>
        <w:rPr>
          <w:rFonts w:ascii="Arial" w:cs="Arial" w:eastAsia="Arial" w:hAnsi="Arial"/>
          <w:b/>
          <w:bCs/>
          <w:color w:val="00695C"/>
          <w:sz w:val="28"/>
          <w:szCs w:val="28"/>
        </w:rPr>
        <w:t xml:space="preserve">3.2 Model: ChangeFormer</w:t>
      </w:r>
    </w:p>
    <w:p>
      <w:pPr>
        <w:spacing w:after="100" w:before="60"/>
        <w:jc w:val="both"/>
      </w:pPr>
      <w:r>
        <w:rPr>
          <w:rFonts w:ascii="Arial" w:cs="Arial" w:eastAsia="Arial" w:hAnsi="Arial"/>
          <w:b w:val="false"/>
          <w:bCs w:val="false"/>
          <w:i w:val="false"/>
          <w:iCs w:val="false"/>
          <w:color w:val="1A1A1A"/>
          <w:sz w:val="20"/>
          <w:szCs w:val="20"/>
        </w:rPr>
        <w:t xml:space="preserve">ChangeFormer is a Siamese transformer network with hierarchical encoders and MLP decoder. It processes T1 and T2 images through shared weights, computes multi-scale difference features, and produces per-pixel change probability maps. In KEMET1 Step 05, the binary change mask feeds into the spatial intersection logic of Step 08.</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3.3 Published Performance on LEVIR-CD Test Set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2960"/>
      </w:tblGrid>
      <w:tr>
        <w:trPr>
          <w:tblHeader/>
        </w:trPr>
        <w:tc>
          <w:tcPr>
            <w:tcW w:type="dxa" w:w="24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7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ChangeFormer</w:t>
            </w:r>
          </w:p>
        </w:tc>
        <w:tc>
          <w:tcPr>
            <w:tcW w:type="dxa" w:w="17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BIT (previous SOTA)</w:t>
            </w:r>
          </w:p>
        </w:tc>
        <w:tc>
          <w:tcPr>
            <w:tcW w:type="dxa" w:w="29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IFNet</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F1 Score</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98.75%</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98.75%</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IoU (change class)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97.53%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96.47%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95.33%</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Precision</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99.21%</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98.92%</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98.34%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Recall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97.89%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97.94%</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Overall Accuracy</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99.18%</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99.10%</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98.87%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 Parameters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41M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3.5M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50.7M</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3.4 Data Type and Preprocessing</w:t>
      </w:r>
    </w:p>
    <w:p>
      <w:pPr>
        <w:pStyle w:val="ListParagraph"/>
        <w:numPr>
          <w:ilvl w:val="0"/>
          <w:numId w:val="2"/>
        </w:numPr>
        <w:spacing w:after="40" w:before="40"/>
      </w:pPr>
      <w:r>
        <w:rPr>
          <w:rFonts w:ascii="Arial" w:cs="Arial" w:eastAsia="Arial" w:hAnsi="Arial"/>
          <w:color w:val="1A1A1A"/>
          <w:sz w:val="20"/>
          <w:szCs w:val="20"/>
        </w:rPr>
        <w:t xml:space="preserve">Input: Paired RGB PNG images (uint8, 0-255), 256x256 crops at inference</w:t>
      </w:r>
    </w:p>
    <w:p>
      <w:pPr>
        <w:pStyle w:val="ListParagraph"/>
        <w:numPr>
          <w:ilvl w:val="0"/>
          <w:numId w:val="2"/>
        </w:numPr>
        <w:spacing w:after="40" w:before="40"/>
      </w:pPr>
      <w:r>
        <w:rPr>
          <w:rFonts w:ascii="Arial" w:cs="Arial" w:eastAsia="Arial" w:hAnsi="Arial"/>
          <w:color w:val="1A1A1A"/>
          <w:sz w:val="20"/>
          <w:szCs w:val="20"/>
        </w:rPr>
        <w:t xml:space="preserve">Normalization: ImageNet mean=[0.485,0.456,0.406], std=[0.229,0.224,0.225]</w:t>
      </w:r>
    </w:p>
    <w:p>
      <w:pPr>
        <w:pStyle w:val="ListParagraph"/>
        <w:numPr>
          <w:ilvl w:val="0"/>
          <w:numId w:val="2"/>
        </w:numPr>
        <w:spacing w:after="40" w:before="40"/>
      </w:pPr>
      <w:r>
        <w:rPr>
          <w:rFonts w:ascii="Arial" w:cs="Arial" w:eastAsia="Arial" w:hAnsi="Arial"/>
          <w:color w:val="1A1A1A"/>
          <w:sz w:val="20"/>
          <w:szCs w:val="20"/>
        </w:rPr>
        <w:t xml:space="preserve">Loss function: Binary Cross-Entropy combined with Dice loss</w:t>
      </w:r>
    </w:p>
    <w:p>
      <w:pPr>
        <w:pStyle w:val="ListParagraph"/>
        <w:numPr>
          <w:ilvl w:val="0"/>
          <w:numId w:val="2"/>
        </w:numPr>
        <w:spacing w:after="40" w:before="40"/>
      </w:pPr>
      <w:r>
        <w:rPr>
          <w:rFonts w:ascii="Arial" w:cs="Arial" w:eastAsia="Arial" w:hAnsi="Arial"/>
          <w:color w:val="1A1A1A"/>
          <w:sz w:val="20"/>
          <w:szCs w:val="20"/>
        </w:rPr>
        <w:t xml:space="preserve">In KEMET1: applied to Sentinel-2 RGB composites (B4=Red, B3=Green, B2=Blue) at 10 m/pixel</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4. ADE20K Dataset - Agricultural Segmentation (Step 06)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Name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ADE20K Scene Parsing Benchmark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Authors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Zhou et al. (2017, 2019) - MIT CSAIL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Published</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CVPR 2017; International Journal of Computer Vision 2019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Source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MIT Scene Understanding (SUN) Database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Dataset Size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25,210 images: 20,210 train / 2,000 val / 3,000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Semantic Classes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150 classes including farmland, grass, vegetation, building, road, soil, water</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Annotation Type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Pixel-level semantic segmentation + instance-level annotations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Image Size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Variable (average ~500 x 400 pixels)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File Format</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JPEG images + PNG segmentation masks with 0-indexed class 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Access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groups.csail.mit.edu/vision/datasets/ADE20K/</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4.1 Dataset Description</w:t>
      </w:r>
    </w:p>
    <w:p>
      <w:pPr>
        <w:spacing w:after="100" w:before="60"/>
        <w:jc w:val="both"/>
      </w:pPr>
      <w:r>
        <w:rPr>
          <w:rFonts w:ascii="Arial" w:cs="Arial" w:eastAsia="Arial" w:hAnsi="Arial"/>
          <w:b w:val="false"/>
          <w:bCs w:val="false"/>
          <w:i w:val="false"/>
          <w:iCs w:val="false"/>
          <w:color w:val="1A1A1A"/>
          <w:sz w:val="20"/>
          <w:szCs w:val="20"/>
        </w:rPr>
        <w:t xml:space="preserve">ADE20K is a large-scale scene understanding benchmark with 150 fine-grained semantic classes. Classes relevant to KEMET1 include: field/farmland (class 29), grass (10), earth/soil (14), building (1), road (7), and water (21). SegFormer produces a dense segmentation map; the agriculture-class output masks the area where encroachment can be detected.</w:t>
      </w:r>
    </w:p>
    <w:p>
      <w:pPr>
        <w:pStyle w:val="Heading2"/>
        <w:spacing w:after="120" w:before="280"/>
      </w:pPr>
      <w:r>
        <w:rPr>
          <w:rFonts w:ascii="Arial" w:cs="Arial" w:eastAsia="Arial" w:hAnsi="Arial"/>
          <w:b/>
          <w:bCs/>
          <w:color w:val="00695C"/>
          <w:sz w:val="28"/>
          <w:szCs w:val="28"/>
        </w:rPr>
        <w:t xml:space="preserve">4.2 Model: SegFormer-B4</w:t>
      </w:r>
    </w:p>
    <w:p>
      <w:pPr>
        <w:spacing w:after="100" w:before="60"/>
        <w:jc w:val="both"/>
      </w:pPr>
      <w:r>
        <w:rPr>
          <w:rFonts w:ascii="Arial" w:cs="Arial" w:eastAsia="Arial" w:hAnsi="Arial"/>
          <w:b w:val="false"/>
          <w:bCs w:val="false"/>
          <w:i w:val="false"/>
          <w:iCs w:val="false"/>
          <w:color w:val="1A1A1A"/>
          <w:sz w:val="20"/>
          <w:szCs w:val="20"/>
        </w:rPr>
        <w:t xml:space="preserve">SegFormer uses a hierarchical Mix Transformer (MiT) encoder with an All-MLP decoder. The B4 variant (64.1M parameters) processes features at 4 scales and produces per-class probability maps at 1/4 input resolution. In KEMET1 Step 06, the agriculture mask constrains the final spatial intersection in Step 08 to confirmed farmland areas only.</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4.3 Published Performance on ADE20K Validation Set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7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 Variant</w:t>
            </w:r>
          </w:p>
        </w:tc>
        <w:tc>
          <w:tcPr>
            <w:tcW w:type="dxa" w:w="14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mIoU</w:t>
            </w:r>
          </w:p>
        </w:tc>
        <w:tc>
          <w:tcPr>
            <w:tcW w:type="dxa" w:w="14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mAcc</w:t>
            </w:r>
          </w:p>
        </w:tc>
        <w:tc>
          <w:tcPr>
            <w:tcW w:type="dxa" w:w="14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Parameters</w:t>
            </w:r>
          </w:p>
        </w:tc>
        <w:tc>
          <w:tcPr>
            <w:tcW w:type="dxa" w:w="17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FPS (V100)</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SegFormer-B0 (smallest)</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37.4%</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79.0%</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3.8M</w:t>
            </w:r>
          </w:p>
        </w:tc>
        <w:tc>
          <w:tcPr>
            <w:tcW w:type="dxa" w:w="1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48.1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SegFormer-B2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27.5M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15.7</w:t>
            </w:r>
          </w:p>
        </w:tc>
      </w:tr>
      <w:tr>
        <w:tc>
          <w:tcPr>
            <w:tcW w:type="dxa" w:w="28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SegFormer-B4 (used in KEMET1)</w:t>
            </w:r>
          </w:p>
        </w:tc>
        <w:tc>
          <w:tcPr>
            <w:tcW w:type="dxa" w:w="1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48.1%</w:t>
            </w:r>
          </w:p>
        </w:tc>
        <w:tc>
          <w:tcPr>
            <w:tcW w:type="dxa" w:w="1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86.2%</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64.1M</w:t>
            </w:r>
          </w:p>
        </w:tc>
        <w:tc>
          <w:tcPr>
            <w:tcW w:type="dxa" w:w="1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SegFormer-B5 (largest)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51.0%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84.7M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7.8</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4.4 Data Type and Preprocessing</w:t>
      </w:r>
    </w:p>
    <w:p>
      <w:pPr>
        <w:pStyle w:val="ListParagraph"/>
        <w:numPr>
          <w:ilvl w:val="0"/>
          <w:numId w:val="2"/>
        </w:numPr>
        <w:spacing w:after="40" w:before="40"/>
      </w:pPr>
      <w:r>
        <w:rPr>
          <w:rFonts w:ascii="Arial" w:cs="Arial" w:eastAsia="Arial" w:hAnsi="Arial"/>
          <w:color w:val="1A1A1A"/>
          <w:sz w:val="20"/>
          <w:szCs w:val="20"/>
        </w:rPr>
        <w:t xml:space="preserve">Input: RGB JPEG at variable resolution, bilinearly resized to 512x512 for inference</w:t>
      </w:r>
    </w:p>
    <w:p>
      <w:pPr>
        <w:pStyle w:val="ListParagraph"/>
        <w:numPr>
          <w:ilvl w:val="0"/>
          <w:numId w:val="2"/>
        </w:numPr>
        <w:spacing w:after="40" w:before="40"/>
      </w:pPr>
      <w:r>
        <w:rPr>
          <w:rFonts w:ascii="Arial" w:cs="Arial" w:eastAsia="Arial" w:hAnsi="Arial"/>
          <w:color w:val="1A1A1A"/>
          <w:sz w:val="20"/>
          <w:szCs w:val="20"/>
        </w:rPr>
        <w:t xml:space="preserve">Normalization: ImageNet mean [123.675, 116.28, 103.53] and std [58.395, 57.12, 57.375]</w:t>
      </w:r>
    </w:p>
    <w:p>
      <w:pPr>
        <w:pStyle w:val="ListParagraph"/>
        <w:numPr>
          <w:ilvl w:val="0"/>
          <w:numId w:val="2"/>
        </w:numPr>
        <w:spacing w:after="40" w:before="40"/>
      </w:pPr>
      <w:r>
        <w:rPr>
          <w:rFonts w:ascii="Arial" w:cs="Arial" w:eastAsia="Arial" w:hAnsi="Arial"/>
          <w:color w:val="1A1A1A"/>
          <w:sz w:val="20"/>
          <w:szCs w:val="20"/>
        </w:rPr>
        <w:t xml:space="preserve">Output: 150-class softmax probability map; agriculture-relevant classes thresholded to binary mask</w:t>
      </w:r>
    </w:p>
    <w:p>
      <w:pPr>
        <w:pStyle w:val="ListParagraph"/>
        <w:numPr>
          <w:ilvl w:val="0"/>
          <w:numId w:val="2"/>
        </w:numPr>
        <w:spacing w:after="40" w:before="40"/>
      </w:pPr>
      <w:r>
        <w:rPr>
          <w:rFonts w:ascii="Arial" w:cs="Arial" w:eastAsia="Arial" w:hAnsi="Arial"/>
          <w:color w:val="1A1A1A"/>
          <w:sz w:val="20"/>
          <w:szCs w:val="20"/>
        </w:rPr>
        <w:t xml:space="preserve">In KEMET1: Sentinel-2 bands B4, B3, B2 composited to pseudo-RGB; output mask constrains Step 08</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5. SpaceNet v2 Dataset - Building Detection (Step 07)</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Name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SpaceNet Challenge: Building Footprint Extraction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Authors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SpaceNet LLC, DigitalGlobe, CosmiQ Works, NVIDIA</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Release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2018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Source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DigitalGlobe WorldView-3 satellite imagery, 5 global cities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Cities</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Las Vegas, Paris, Shanghai, Khartoum, Rio de Janeiro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Annotations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~400,000 building footprint polygons in GeoJSON</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Chip Size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650 x 650 pixels per chip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Spatial Resolution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0.3 m/pixel (30 cm - very high resolution)</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Spectral Bands</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8-band multispectral + 1 panchromatic (PAN) band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File Format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GeoTIFF 8-band + GeoJSON polygon labels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Access</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AWS Open Data: s3://spacenet-dataset/spacenet/</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5.1 Dataset Description</w:t>
      </w:r>
    </w:p>
    <w:p>
      <w:pPr>
        <w:spacing w:after="100" w:before="60"/>
        <w:jc w:val="both"/>
      </w:pPr>
      <w:r>
        <w:rPr>
          <w:rFonts w:ascii="Arial" w:cs="Arial" w:eastAsia="Arial" w:hAnsi="Arial"/>
          <w:b w:val="false"/>
          <w:bCs w:val="false"/>
          <w:i w:val="false"/>
          <w:iCs w:val="false"/>
          <w:color w:val="1A1A1A"/>
          <w:sz w:val="20"/>
          <w:szCs w:val="20"/>
        </w:rPr>
        <w:t xml:space="preserve">SpaceNet v2 provides dense building footprint annotations from very-high-resolution imagery across five globally diverse cities. The dataset spans radically different building densities, styles, and sizes. In KEMET1, YOLOv8m-seg detects individual building instances in the After image; SAM then refines the polygon boundaries; the footprints are intersected with the agricultural and change masks in Step 08 to confirm encroachment.</w:t>
      </w:r>
    </w:p>
    <w:p>
      <w:pPr>
        <w:pStyle w:val="Heading2"/>
        <w:spacing w:after="120" w:before="280"/>
      </w:pPr>
      <w:r>
        <w:rPr>
          <w:rFonts w:ascii="Arial" w:cs="Arial" w:eastAsia="Arial" w:hAnsi="Arial"/>
          <w:b/>
          <w:bCs/>
          <w:color w:val="00695C"/>
          <w:sz w:val="28"/>
          <w:szCs w:val="28"/>
        </w:rPr>
        <w:t xml:space="preserve">5.2 Model: YOLOv8m-seg + SAM</w:t>
      </w:r>
    </w:p>
    <w:p>
      <w:pPr>
        <w:spacing w:after="100" w:before="60"/>
        <w:jc w:val="both"/>
      </w:pPr>
      <w:r>
        <w:rPr>
          <w:rFonts w:ascii="Arial" w:cs="Arial" w:eastAsia="Arial" w:hAnsi="Arial"/>
          <w:b w:val="false"/>
          <w:bCs w:val="false"/>
          <w:i w:val="false"/>
          <w:iCs w:val="false"/>
          <w:color w:val="1A1A1A"/>
          <w:sz w:val="20"/>
          <w:szCs w:val="20"/>
        </w:rPr>
        <w:t xml:space="preserve">YOLOv8m-seg combines a CSPDarkNet-v8 backbone with a PAN neck and dual detection/mask heads for real-time instance segmentation. SAM (Segment Anything Model, Meta AI) is applied as a polygon-refinement step using YOLO bounding boxes as spatial prompts to produce higher-quality building outlines.</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5.3 Published Performance on SpaceNet v2</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76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37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Context</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Building IoU</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75.3%</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Average across all 5 SpaceNet cities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mAP@0.50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Instance detection, IoU threshold 0.50</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mAP@0.50-0.95</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53.4%</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COCO-style mAP averaged across IoU thresholds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79.8%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At default confidence threshold 0.25</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Recall</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71.2%</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At default confidence threshold 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F1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75.3%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Harmonic mean at threshold 0.25</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Inference speed</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~18 FPS</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V100 GPU, 640x640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NMS IoU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Post-processing suppression threshold</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5.4 Data Type and Preprocessing</w:t>
      </w:r>
    </w:p>
    <w:p>
      <w:pPr>
        <w:pStyle w:val="ListParagraph"/>
        <w:numPr>
          <w:ilvl w:val="0"/>
          <w:numId w:val="2"/>
        </w:numPr>
        <w:spacing w:after="40" w:before="40"/>
      </w:pPr>
      <w:r>
        <w:rPr>
          <w:rFonts w:ascii="Arial" w:cs="Arial" w:eastAsia="Arial" w:hAnsi="Arial"/>
          <w:color w:val="1A1A1A"/>
          <w:sz w:val="20"/>
          <w:szCs w:val="20"/>
        </w:rPr>
        <w:t xml:space="preserve">Input: 8-band WorldView-3 chips at 30 cm resolution; KEMET1 uses Sentinel-2 10 m RGB as proxy</w:t>
      </w:r>
    </w:p>
    <w:p>
      <w:pPr>
        <w:pStyle w:val="ListParagraph"/>
        <w:numPr>
          <w:ilvl w:val="0"/>
          <w:numId w:val="2"/>
        </w:numPr>
        <w:spacing w:after="40" w:before="40"/>
      </w:pPr>
      <w:r>
        <w:rPr>
          <w:rFonts w:ascii="Arial" w:cs="Arial" w:eastAsia="Arial" w:hAnsi="Arial"/>
          <w:color w:val="1A1A1A"/>
          <w:sz w:val="20"/>
          <w:szCs w:val="20"/>
        </w:rPr>
        <w:t xml:space="preserve">Normalization: per-band percentile stretch [2%, 98%] to uint8 range for YOLOv8 compatibility</w:t>
      </w:r>
    </w:p>
    <w:p>
      <w:pPr>
        <w:pStyle w:val="ListParagraph"/>
        <w:numPr>
          <w:ilvl w:val="0"/>
          <w:numId w:val="2"/>
        </w:numPr>
        <w:spacing w:after="40" w:before="40"/>
      </w:pPr>
      <w:r>
        <w:rPr>
          <w:rFonts w:ascii="Arial" w:cs="Arial" w:eastAsia="Arial" w:hAnsi="Arial"/>
          <w:color w:val="1A1A1A"/>
          <w:sz w:val="20"/>
          <w:szCs w:val="20"/>
        </w:rPr>
        <w:t xml:space="preserve">Output: polygon masks per building instance with confidence scores and bounding boxes</w:t>
      </w:r>
    </w:p>
    <w:p>
      <w:pPr>
        <w:pStyle w:val="ListParagraph"/>
        <w:numPr>
          <w:ilvl w:val="0"/>
          <w:numId w:val="2"/>
        </w:numPr>
        <w:spacing w:after="40" w:before="40"/>
      </w:pPr>
      <w:r>
        <w:rPr>
          <w:rFonts w:ascii="Arial" w:cs="Arial" w:eastAsia="Arial" w:hAnsi="Arial"/>
          <w:color w:val="1A1A1A"/>
          <w:sz w:val="20"/>
          <w:szCs w:val="20"/>
        </w:rPr>
        <w:t xml:space="preserve">Post-processing: NMS at IoU 0.45, confidence threshold 0.25, minimum building area 10 m2</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6. KEMET1 BeforeAfter Dataset - Our Custom Nile Delta Dataset</w:t>
      </w:r>
    </w:p>
    <w:p>
      <w:pPr>
        <w:spacing w:after="100" w:before="60"/>
      </w:pPr>
      <w:r>
        <w:rPr>
          <w:rFonts w:ascii="Arial" w:cs="Arial" w:eastAsia="Arial" w:hAnsi="Arial"/>
          <w:b/>
          <w:bCs/>
          <w:color w:val="B71C1C"/>
          <w:sz w:val="20"/>
          <w:szCs w:val="20"/>
        </w:rPr>
        <w:t xml:space="preserve">This is the only dataset where we performed training, validation, and testing. </w:t>
      </w:r>
      <w:r>
        <w:rPr>
          <w:rFonts w:ascii="Arial" w:cs="Arial" w:eastAsia="Arial" w:hAnsi="Arial"/>
          <w:color w:val="1A1A1A"/>
          <w:sz w:val="20"/>
          <w:szCs w:val="20"/>
        </w:rPr>
        <w:t xml:space="preserve">All other datasets provided only pre-trained model weights. KEMET1 BeforeAfter was designed, collected, and annotated specifically for this graduation project to detect agricultural encroachment in Egypt's Nile Delta.</w:t>
      </w:r>
    </w:p>
    <w:p>
      <w:pPr>
        <w:spacing w:after="80" w:before="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Name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KEMET1 BeforeAfter - Nile Delta Encroachment Detection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Collected By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This project - custom pipeline via Google Earth Engine (GEE)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Satellite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Sentinel-2 Level-2A (ESA Copernicus, 13-band MSI)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Temporal Coverage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Before: 2024 growing season | After: 2025 growing season</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Total Sites</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300 co-registered tile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Tile Size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128 x 128 pixels at 10 m/pixel = 1.28 km x 1.28 km per tile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Coverage Area</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Nile Delta agricultural zone, Egypt (approx. 22,000 km2)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Bands / Indices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 derived spectral indices: NDVI, NDBI, MNDWI, SAVI, BSI, NDWI</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Label Type</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Binary site-level: Positive (encroachment) / Negative (stable farmland)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Class Distribution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78 Positive (26.0%) / 222 Negative (74.0%)</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File Format</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GeoTIFF 6-band float32, one file per time period per 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 Filtering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SCL bands 3,7,8,9,10 masked; sites with &gt;15% cloud excluded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Hotspot Cities</w:t>
            </w:r>
          </w:p>
        </w:tc>
        <w:tc>
          <w:tcPr>
            <w:tcW w:type="dxa" w:w="6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Tanta, Mansoura, Zagazig, Banha, Shubra El-Kheima, Kafr El-Sheikh, Damietta</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6.1 Data Collection Methodology</w:t>
      </w:r>
    </w:p>
    <w:p>
      <w:pPr>
        <w:spacing w:after="100" w:before="60"/>
        <w:jc w:val="both"/>
      </w:pPr>
      <w:r>
        <w:rPr>
          <w:rFonts w:ascii="Arial" w:cs="Arial" w:eastAsia="Arial" w:hAnsi="Arial"/>
          <w:b w:val="false"/>
          <w:bCs w:val="false"/>
          <w:i w:val="false"/>
          <w:iCs w:val="false"/>
          <w:color w:val="1A1A1A"/>
          <w:sz w:val="20"/>
          <w:szCs w:val="20"/>
        </w:rPr>
        <w:t xml:space="preserve">Sites were generated using a haversine-based tile grid centered on the Nile Delta agricultural boundary. Known encroachment hotspot cities were oversampled (3x density factor) to ensure sufficient positive examples. Sentinel-2 Level-2A images were exported via GEE with cloud masking applied using the SCL band.</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6.2 Auto-Labelling Rule</w:t>
      </w:r>
    </w:p>
    <w:p>
      <w:pPr>
        <w:spacing w:after="100" w:before="60"/>
        <w:jc w:val="both"/>
      </w:pPr>
      <w:r>
        <w:rPr>
          <w:rFonts w:ascii="Arial" w:cs="Arial" w:eastAsia="Arial" w:hAnsi="Arial"/>
          <w:b w:val="false"/>
          <w:bCs w:val="false"/>
          <w:i w:val="false"/>
          <w:iCs w:val="false"/>
          <w:color w:val="1A1A1A"/>
          <w:sz w:val="20"/>
          <w:szCs w:val="20"/>
        </w:rPr>
        <w:t xml:space="preserve">A site is labelled POSITIVE if it satisfies either of the following spectral threshold conditions:</w:t>
      </w:r>
    </w:p>
    <w:p>
      <w:pPr>
        <w:pBdr>
          <w:left w:val="single" w:color="00695C" w:sz="12" w:space="4"/>
        </w:pBdr>
        <w:shd w:fill="F5F5F5" w:val="clear"/>
        <w:spacing w:after="60" w:before="60"/>
        <w:ind w:left="360" w:right="360"/>
      </w:pPr>
      <w:r>
        <w:rPr>
          <w:rFonts w:ascii="Courier New" w:cs="Courier New" w:eastAsia="Courier New" w:hAnsi="Courier New"/>
          <w:b/>
          <w:bCs/>
          <w:color w:val="1B5E20"/>
          <w:sz w:val="18"/>
          <w:szCs w:val="18"/>
        </w:rPr>
        <w:t xml:space="preserve">label = "pos"  IF  (pct_conv &gt; 0.02576)  OR  (max_cluster_ha &gt; 3.13)  ELSE  "neg"</w:t>
      </w:r>
    </w:p>
    <w:p>
      <w:pPr>
        <w:spacing w:after="100" w:before="60"/>
        <w:jc w:val="both"/>
      </w:pPr>
      <w:r>
        <w:rPr>
          <w:rFonts w:ascii="Arial" w:cs="Arial" w:eastAsia="Arial" w:hAnsi="Arial"/>
          <w:b w:val="false"/>
          <w:bCs w:val="false"/>
          <w:i w:val="false"/>
          <w:iCs w:val="false"/>
          <w:color w:val="1A1A1A"/>
          <w:sz w:val="20"/>
          <w:szCs w:val="20"/>
        </w:rPr>
        <w:t xml:space="preserve">pct_conv: fraction of pixels where (NDVI_before &gt; 0.25) AND (NDVI_after &lt; 0.25) AND (NDBI_after &gt; NDBI_before + 0.08). These pixels converted from vegetation to built-up. max_cluster_ha: maximum connected-component cluster area (hectares) of changed pixels via scipy.ndimage.label.</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6.3 Spectral Index Formulae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660"/>
      </w:tblGrid>
      <w:tr>
        <w:trPr>
          <w:tblHeader/>
        </w:trPr>
        <w:tc>
          <w:tcPr>
            <w:tcW w:type="dxa" w:w="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Index</w:t>
            </w:r>
          </w:p>
        </w:tc>
        <w:tc>
          <w:tcPr>
            <w:tcW w:type="dxa" w:w="3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46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Physical Meaning in KEMET1</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NDVI</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(NIR - Red) / (NIR + Red + 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Vegetation health. Drops sharply when farmland is built over. Key detection signal.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NDBI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(SWIR1 - NIR) / (SWIR1 + NIR + eps)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Built-up intensity. Increases when impervious surfaces (concrete, asphalt) appear.</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MNDWI</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(Green - SWIR1) / (Green + SWIR1 + 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Identifies irrigation canals and water bodies to exclude from encroachment detection.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SAVI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1.5*(NIR-Red)/(NIR+Red+0.5+eps)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Soil-Adjusted VI. More accurate than NDVI on sparse Nile Delta fields with exposed soil.</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BSI</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((SWIR1+Red)-(NIR+Blue))/((SWIR1+Red)+(NIR+Blue)+eps)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Bare Soil Index. Rises as farmland is cleared before construction begins.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NDWI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(Green - NIR) / (Green + NIR + eps)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Broad water and moisture indicator. Complementary to MNDWI.</w:t>
            </w:r>
          </w:p>
        </w:tc>
      </w:tr>
    </w:tbl>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7. 46-Feature Vector Composition - KEMET1</w:t>
      </w:r>
    </w:p>
    <w:p>
      <w:pPr>
        <w:spacing w:after="0" w:before="80"/>
        <w:jc w:val="center"/>
      </w:pPr>
      <w:r>
        <w:drawing>
          <wp:inline distT="0" distB="0" distL="0" distR="0">
            <wp:extent cx="4572000" cy="2095500"/>
            <wp:effectExtent t="0" r="0" b="0" l="0"/>
            <wp:docPr id="1" name="Figure 1 - 46-feature vector composition: 42 delta statistics, 2 delta means, 2 circular proxy features" descr="Figure 1 - 46-feature vector composition: 42 delta statistics, 2 delta means, 2 circular proxy features" title="Figure 1 - 46-feature vector composition: 42 delta statistics, 2 delta means, 2 circular prox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95500"/>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1 - 46-feature vector composition: 42 delta statistics, 2 delta means, 2 circular proxy features</w:t>
      </w:r>
    </w:p>
    <w:p>
      <w:pPr>
        <w:spacing w:after="80" w:before="0"/>
      </w:pPr>
      <w:r>
        <w:t xml:space="preserve"/>
      </w:r>
    </w:p>
    <w:p>
      <w:pPr>
        <w:spacing w:after="100" w:before="60"/>
        <w:jc w:val="both"/>
      </w:pPr>
      <w:r>
        <w:rPr>
          <w:rFonts w:ascii="Arial" w:cs="Arial" w:eastAsia="Arial" w:hAnsi="Arial"/>
          <w:b w:val="false"/>
          <w:bCs w:val="false"/>
          <w:i w:val="false"/>
          <w:iCs w:val="false"/>
          <w:color w:val="1A1A1A"/>
          <w:sz w:val="20"/>
          <w:szCs w:val="20"/>
        </w:rPr>
        <w:t xml:space="preserve">For each of the 6 spectral index bands, 7 statistics are computed over the pixel difference array (After - Before): mean, std, p10, p25, p50, p75, p90. This yields 42 delta statistics. Two delta mean summaries and two circular proxy features complete the 46-dimensional vector.</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300"/>
        <w:gridCol w:w="1760"/>
      </w:tblGrid>
      <w:tr>
        <w:trPr>
          <w:tblHeader/>
        </w:trPr>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Group</w:t>
            </w:r>
          </w:p>
        </w:tc>
        <w:tc>
          <w:tcPr>
            <w:tcW w:type="dxa" w:w="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w:t>
            </w:r>
          </w:p>
        </w:tc>
        <w:tc>
          <w:tcPr>
            <w:tcW w:type="dxa" w:w="43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7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Ablation Status</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Delta Statistics per Band</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42</w:t>
            </w:r>
          </w:p>
        </w:tc>
        <w:tc>
          <w:tcPr>
            <w:tcW w:type="dxa" w:w="4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mean, std, p10, p25, p50, p75, p90 for each of NDVI, NDBI, MNDWI, SAVI, BSI, NDWI</w:t>
            </w:r>
          </w:p>
        </w:tc>
        <w:tc>
          <w:tcPr>
            <w:tcW w:type="dxa" w:w="1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Delta Mean Summary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dNDVI_mean: mean(NDVI_after - NDVI_before); dNDBI_mean: mean(NDBI_after - NDBI_before)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Kept</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Circular Proxies</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w:t>
            </w:r>
          </w:p>
        </w:tc>
        <w:tc>
          <w:tcPr>
            <w:tcW w:type="dxa" w:w="4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color w:val="1A1A1A"/>
                <w:sz w:val="19"/>
                <w:szCs w:val="19"/>
              </w:rPr>
              <w:t xml:space="preserve">pct_conv and pct_new: also used in the auto-labelling rule, creating label-feature circularity</w:t>
            </w:r>
          </w:p>
        </w:tc>
        <w:tc>
          <w:tcPr>
            <w:tcW w:type="dxa" w:w="1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REMOVED in ablation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46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feature vector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46 full / 44 ablation</w:t>
            </w:r>
          </w:p>
        </w:tc>
      </w:tr>
    </w:tbl>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8. KEMET1 Random Forest Training</w:t>
      </w:r>
    </w:p>
    <w:p>
      <w:pPr>
        <w:pStyle w:val="Heading2"/>
        <w:spacing w:after="120" w:before="280"/>
      </w:pPr>
      <w:r>
        <w:rPr>
          <w:rFonts w:ascii="Arial" w:cs="Arial" w:eastAsia="Arial" w:hAnsi="Arial"/>
          <w:b/>
          <w:bCs/>
          <w:color w:val="00695C"/>
          <w:sz w:val="28"/>
          <w:szCs w:val="28"/>
        </w:rPr>
        <w:t xml:space="preserve">8.1 Hyperparameters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160"/>
      </w:tblGrid>
      <w:tr>
        <w:trPr>
          <w:tblHeader/>
        </w:trPr>
        <w:tc>
          <w:tcPr>
            <w:tcW w:type="dxa" w:w="26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1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Algorithm</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RandomForestClassifier (scikit-learn)</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Robust on small tabular datasets; interpretable feature importances; no GPU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n_estimators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400 trees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Accuracy stabilizes beyond 400; diminishing returns with higher counts</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max_depth</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Prevents overfit on 210 training samples; tuned by observing AUC degradation at higher depth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class_weight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balanced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Automatically weights positive class inversely to its 26% frequency</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n_jobs</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Parallelizes tree construction across all CPU cores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Ensures full reproducibility of all results</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Decision threshold</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0.40</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Tuned on validation set to maximize recall (see threshold sweep)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NaN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np.nan_to_num(features, nan=0.0)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Replaces pickled SimpleImputer due to sklearn version mismatch between training and inference runtime</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8.2 Dataset Split</w:t>
      </w:r>
    </w:p>
    <w:p>
      <w:pPr>
        <w:spacing w:after="0" w:before="80"/>
        <w:jc w:val="center"/>
      </w:pPr>
      <w:r>
        <w:drawing>
          <wp:inline distT="0" distB="0" distL="0" distR="0">
            <wp:extent cx="4572000" cy="2095500"/>
            <wp:effectExtent t="0" r="0" b="0" l="0"/>
            <wp:docPr id="1" name="Figure 2 - Stratified 70/15/15 split (seed=42). Class ratio preserved across all splits." descr="Figure 2 - Stratified 70/15/15 split (seed=42). Class ratio preserved across all splits." title="Figure 2 - Stratified 70/15/15 split (seed=42). Class ratio preserved across all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95500"/>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2 - Stratified 70/15/15 split (seed=42). Class ratio preserved across all splits.</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8.3 Class Distribution</w:t>
      </w:r>
    </w:p>
    <w:p>
      <w:pPr>
        <w:spacing w:after="0" w:before="80"/>
        <w:jc w:val="center"/>
      </w:pPr>
      <w:r>
        <w:drawing>
          <wp:inline distT="0" distB="0" distL="0" distR="0">
            <wp:extent cx="3619500" cy="2571750"/>
            <wp:effectExtent t="0" r="0" b="0" l="0"/>
            <wp:docPr id="1" name="Figure 3 - KEMET1 class distribution: 78 positive (encroachment detected) vs 222 negative (stable farmland)." descr="Figure 3 - KEMET1 class distribution: 78 positive (encroachment detected) vs 222 negative (stable farmland)." title="Figure 3 - KEMET1 class distribution: 78 positive (encroachment detected) vs 222 negative (stable farm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571750"/>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3 - KEMET1 class distribution: 78 positive (encroachment detected) vs 222 negative (stable farmland).</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9. KEMET1 Evaluation Results</w:t>
      </w:r>
    </w:p>
    <w:p>
      <w:pPr>
        <w:pStyle w:val="Heading2"/>
        <w:spacing w:after="120" w:before="280"/>
      </w:pPr>
      <w:r>
        <w:rPr>
          <w:rFonts w:ascii="Arial" w:cs="Arial" w:eastAsia="Arial" w:hAnsi="Arial"/>
          <w:b/>
          <w:bCs/>
          <w:color w:val="00695C"/>
          <w:sz w:val="28"/>
          <w:szCs w:val="28"/>
        </w:rPr>
        <w:t xml:space="preserve">9.1 Full Model Performance (46 features)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960"/>
      </w:tblGrid>
      <w:tr>
        <w:trPr>
          <w:tblHeader/>
        </w:trPr>
        <w:tc>
          <w:tcPr>
            <w:tcW w:type="dxa" w:w="26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Validation Set</w:t>
            </w:r>
          </w:p>
        </w:tc>
        <w:tc>
          <w:tcPr>
            <w:tcW w:type="dxa" w:w="39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Set</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AUC-ROC</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0.9444</w:t>
            </w:r>
          </w:p>
        </w:tc>
        <w:tc>
          <w:tcPr>
            <w:tcW w:type="dxa" w:w="3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color w:val="B71C1C"/>
                <w:sz w:val="19"/>
                <w:szCs w:val="19"/>
              </w:rPr>
              <w:t xml:space="preserve">~1.000 (inflated - see circularity note)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Confusion @ threshold 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TN=29, FP=4, FN=2, TP=10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TN=32, FP=2, FN=0, TP=11</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Precision</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0.714</w:t>
            </w:r>
          </w:p>
        </w:tc>
        <w:tc>
          <w:tcPr>
            <w:tcW w:type="dxa" w:w="3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0.846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0.833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1.000</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F1 Score</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0.769</w:t>
            </w:r>
          </w:p>
        </w:tc>
        <w:tc>
          <w:tcPr>
            <w:tcW w:type="dxa" w:w="3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Specificity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0.879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0.941</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Decision Threshold</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0.40</w:t>
            </w:r>
          </w:p>
        </w:tc>
        <w:tc>
          <w:tcPr>
            <w:tcW w:type="dxa" w:w="3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0.40</w:t>
            </w:r>
          </w:p>
        </w:tc>
      </w:tr>
    </w:tbl>
    <w:p>
      <w:pPr>
        <w:spacing w:after="80" w:before="0"/>
      </w:pPr>
      <w:r>
        <w:t xml:space="preserve"/>
      </w:r>
    </w:p>
    <w:p>
      <w:pPr>
        <w:pBdr>
          <w:left w:val="single" w:color="E65100" w:sz="16" w:space="4"/>
        </w:pBdr>
        <w:shd w:fill="FFF3E0" w:val="clear"/>
        <w:spacing w:after="80" w:before="80"/>
        <w:ind w:left="360" w:right="360"/>
      </w:pPr>
      <w:r>
        <w:rPr>
          <w:rFonts w:ascii="Arial" w:cs="Arial" w:eastAsia="Arial" w:hAnsi="Arial"/>
          <w:color w:val="4A4000"/>
          <w:sz w:val="19"/>
          <w:szCs w:val="19"/>
        </w:rPr>
        <w:t xml:space="preserve">Circularity: pct_conv and pct_new appear in both the auto-labelling rule AND the feature vector. This inflates test AUC to ~1.0. The conservative generalization estimate is the ablation Val AUC = 0.8763, cited throughout all official documentation.</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9.2 ROC Curves - Validation Set</w:t>
      </w:r>
    </w:p>
    <w:p>
      <w:pPr>
        <w:spacing w:after="0" w:before="80"/>
        <w:jc w:val="center"/>
      </w:pPr>
      <w:r>
        <w:drawing>
          <wp:inline distT="0" distB="0" distL="0" distR="0">
            <wp:extent cx="4953000" cy="3524250"/>
            <wp:effectExtent t="0" r="0" b="0" l="0"/>
            <wp:docPr id="1" name="Figure 4 - ROC curves for Full model (Val AUC=0.9444, solid navy) and Ablation model (Val AUC=0.8763, dashed teal). Both significantly above the random classifier diagonal." descr="Figure 4 - ROC curves for Full model (Val AUC=0.9444, solid navy) and Ablation model (Val AUC=0.8763, dashed teal). Both significantly above the random classifier diagonal." title="Figure 4 - ROC curves for Full model (Val AUC=0.9444, solid navy) and Ablation model (Val AUC=0.8763, dashed teal). Both significantly above the random classifier diag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24250"/>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4 - ROC curves for Full model (Val AUC=0.9444, solid navy) and Ablation model (Val AUC=0.8763, dashed teal). Both significantly above the random classifier diagonal.</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9.3 Precision-Recall Curves - Validation Set</w:t>
      </w:r>
    </w:p>
    <w:p>
      <w:pPr>
        <w:spacing w:after="0" w:before="80"/>
        <w:jc w:val="center"/>
      </w:pPr>
      <w:r>
        <w:drawing>
          <wp:inline distT="0" distB="0" distL="0" distR="0">
            <wp:extent cx="4953000" cy="3524250"/>
            <wp:effectExtent t="0" r="0" b="0" l="0"/>
            <wp:docPr id="1" name="Figure 5 - Precision-Recall curves for both models. No-skill baseline at 0.47 (fraction of positives in validation set)." descr="Figure 5 - Precision-Recall curves for both models. No-skill baseline at 0.47 (fraction of positives in validation set)." title="Figure 5 - Precision-Recall curves for both models. No-skill baseline at 0.47 (fraction of positives in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524250"/>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5 - Precision-Recall curves for both models. No-skill baseline at 0.47 (fraction of positives in validation set).</w:t>
      </w:r>
    </w:p>
    <w:p>
      <w:pPr>
        <w:spacing w:after="80" w:before="0"/>
      </w:pPr>
      <w:r>
        <w:t xml:space="preserve"/>
      </w:r>
    </w:p>
    <w:p>
      <w:r>
        <w:br w:type="page"/>
      </w:r>
    </w:p>
    <w:p>
      <w:pPr>
        <w:pStyle w:val="Heading2"/>
        <w:spacing w:after="120" w:before="280"/>
      </w:pPr>
      <w:r>
        <w:rPr>
          <w:rFonts w:ascii="Arial" w:cs="Arial" w:eastAsia="Arial" w:hAnsi="Arial"/>
          <w:b/>
          <w:bCs/>
          <w:color w:val="00695C"/>
          <w:sz w:val="28"/>
          <w:szCs w:val="28"/>
        </w:rPr>
        <w:t xml:space="preserve">9.4 Threshold Sweep</w:t>
      </w:r>
    </w:p>
    <w:p>
      <w:pPr>
        <w:spacing w:after="100" w:before="60"/>
        <w:jc w:val="both"/>
      </w:pPr>
      <w:r>
        <w:rPr>
          <w:rFonts w:ascii="Arial" w:cs="Arial" w:eastAsia="Arial" w:hAnsi="Arial"/>
          <w:b w:val="false"/>
          <w:bCs w:val="false"/>
          <w:i w:val="false"/>
          <w:iCs w:val="false"/>
          <w:color w:val="1A1A1A"/>
          <w:sz w:val="20"/>
          <w:szCs w:val="20"/>
        </w:rPr>
        <w:t xml:space="preserve">The threshold of 0.40 was selected from a sweep of all values 0.05 to 0.95 on the validation set, choosing the threshold that maximizes recall while maintaining acceptable precision.</w:t>
      </w:r>
    </w:p>
    <w:p>
      <w:pPr>
        <w:spacing w:after="0" w:before="80"/>
        <w:jc w:val="center"/>
      </w:pPr>
      <w:r>
        <w:drawing>
          <wp:inline distT="0" distB="0" distL="0" distR="0">
            <wp:extent cx="4953000" cy="2809875"/>
            <wp:effectExtent t="0" r="0" b="0" l="0"/>
            <wp:docPr id="1" name="Figure 6 - Precision, Recall, and F1 vs classification threshold. Gold dashed line at 0.40 (chosen operating point)." descr="Figure 6 - Precision, Recall, and F1 vs classification threshold. Gold dashed line at 0.40 (chosen operating point)." title="Figure 6 - Precision, Recall, and F1 vs classification threshold. Gold dashed line at 0.40 (chosen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0987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6 - Precision, Recall, and F1 vs classification threshold. Gold dashed line at 0.40 (chosen operating point).</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9.5 Confusion Matrices at Threshold 0.40</w:t>
      </w:r>
    </w:p>
    <w:p>
      <w:pPr>
        <w:spacing w:after="0" w:before="80"/>
        <w:jc w:val="center"/>
      </w:pPr>
      <w:r>
        <w:drawing>
          <wp:inline distT="0" distB="0" distL="0" distR="0">
            <wp:extent cx="5143500" cy="1857375"/>
            <wp:effectExtent t="0" r="0" b="0" l="0"/>
            <wp:docPr id="1" name="Figure 7 - Confusion matrices for Full model (left: Test F1=0.917, zero false negatives) and Ablation model (right: Test F1=0.667, 2 FN + 7 FP)." descr="Figure 7 - Confusion matrices for Full model (left: Test F1=0.917, zero false negatives) and Ablation model (right: Test F1=0.667, 2 FN + 7 FP)." title="Figure 7 - Confusion matrices for Full model (left: Test F1=0.917, zero false negatives) and Ablation model (right: Test F1=0.667, 2 FN + 7 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85737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7 - Confusion matrices for Full model (left: Test F1=0.917, zero false negatives) and Ablation model (right: Test F1=0.667, 2 FN + 7 FP).</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9.6 Feature Importance (Top 20)</w:t>
      </w:r>
    </w:p>
    <w:p>
      <w:pPr>
        <w:spacing w:after="0" w:before="80"/>
        <w:jc w:val="center"/>
      </w:pPr>
      <w:r>
        <w:drawing>
          <wp:inline distT="0" distB="0" distL="0" distR="0">
            <wp:extent cx="5143500" cy="2809875"/>
            <wp:effectExtent t="0" r="0" b="0" l="0"/>
            <wp:docPr id="1" name="Figure 8 - Top 20 Random Forest feature importances. Red = circular features (pct_conv, pct_new) dominating ranking, confirming circularity concern." descr="Figure 8 - Top 20 Random Forest feature importances. Red = circular features (pct_conv, pct_new) dominating ranking, confirming circularity concern." title="Figure 8 - Top 20 Random Forest feature importances. Red = circular features (pct_conv, pct_new) dominating ranking, confirming circularity conc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0987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8 - Top 20 Random Forest feature importances. Red = circular features (pct_conv, pct_new) dominating ranking, confirming circularity concern.</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10. Ablation Study - Removing Circular Features</w:t>
      </w:r>
    </w:p>
    <w:p>
      <w:pPr>
        <w:spacing w:after="100" w:before="60"/>
        <w:jc w:val="both"/>
      </w:pPr>
      <w:r>
        <w:rPr>
          <w:rFonts w:ascii="Arial" w:cs="Arial" w:eastAsia="Arial" w:hAnsi="Arial"/>
          <w:b w:val="false"/>
          <w:bCs w:val="false"/>
          <w:i w:val="false"/>
          <w:iCs w:val="false"/>
          <w:color w:val="1A1A1A"/>
          <w:sz w:val="20"/>
          <w:szCs w:val="20"/>
        </w:rPr>
        <w:t xml:space="preserve">pct_conv and pct_new were removed, leaving 44 features. The model was retrained from scratch with identical hyperparameters and the same stratified split to obtain a conservative generalization estimate.</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2460"/>
      </w:tblGrid>
      <w:tr>
        <w:trPr>
          <w:tblHeader/>
        </w:trPr>
        <w:tc>
          <w:tcPr>
            <w:tcW w:type="dxa" w:w="2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Full Model (46 features)</w:t>
            </w:r>
          </w:p>
        </w:tc>
        <w:tc>
          <w:tcPr>
            <w:tcW w:type="dxa" w:w="1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Ablation (44 features)</w:t>
            </w:r>
          </w:p>
        </w:tc>
        <w:tc>
          <w:tcPr>
            <w:tcW w:type="dxa" w:w="24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Delta</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 AUC</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0.9444</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0.8763</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color w:val="B71C1C"/>
                <w:sz w:val="19"/>
                <w:szCs w:val="19"/>
              </w:rPr>
              <w:t xml:space="preserve">-0.0681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AUC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0.8824</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B71C1C"/>
                <w:sz w:val="19"/>
                <w:szCs w:val="19"/>
              </w:rPr>
              <w:t xml:space="preserve">-0.1176</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F1 @ 0.40</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0.9167</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0.6667</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color w:val="B71C1C"/>
                <w:sz w:val="19"/>
                <w:szCs w:val="19"/>
              </w:rPr>
              <w:t xml:space="preserve">-0.2500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Confusion @ 0.40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TN=32 FP=2 FN=0 TP=11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TN=27 FP=7 FN=2 TP=9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More FP and FN</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Features</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46</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44</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pct_conv and pct_new removed</w:t>
            </w:r>
          </w:p>
        </w:tc>
      </w:tr>
    </w:tbl>
    <w:p>
      <w:pPr>
        <w:spacing w:after="80" w:before="0"/>
      </w:pPr>
      <w:r>
        <w:t xml:space="preserve"/>
      </w:r>
    </w:p>
    <w:p>
      <w:pPr>
        <w:spacing w:after="0" w:before="80"/>
        <w:jc w:val="center"/>
      </w:pPr>
      <w:r>
        <w:drawing>
          <wp:inline distT="0" distB="0" distL="0" distR="0">
            <wp:extent cx="4953000" cy="3095625"/>
            <wp:effectExtent t="0" r="0" b="0" l="0"/>
            <wp:docPr id="1" name="Figure 9 - Full vs Ablation performance comparison. Note the near-perfect full model test AUC drops to 0.8824 in the ablation, confirming circular feature inflation." descr="Figure 9 - Full vs Ablation performance comparison. Note the near-perfect full model test AUC drops to 0.8824 in the ablation, confirming circular feature inflation." title="Figure 9 - Full vs Ablation performance comparison. Note the near-perfect full model test AUC drops to 0.8824 in the ablation, confirming circular feature inf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9 - Full vs Ablation performance comparison. Note the near-perfect full model test AUC drops to 0.8824 in the ablation, confirming circular feature inflation.</w:t>
      </w:r>
    </w:p>
    <w:p>
      <w:pPr>
        <w:spacing w:after="80" w:before="0"/>
      </w:pPr>
      <w:r>
        <w:t xml:space="preserve"/>
      </w:r>
    </w:p>
    <w:p>
      <w:pPr>
        <w:spacing w:after="100" w:before="60"/>
        <w:jc w:val="both"/>
      </w:pPr>
      <w:r>
        <w:rPr>
          <w:rFonts w:ascii="Arial" w:cs="Arial" w:eastAsia="Arial" w:hAnsi="Arial"/>
          <w:b w:val="false"/>
          <w:bCs w:val="false"/>
          <w:i w:val="false"/>
          <w:iCs w:val="false"/>
          <w:color w:val="1A1A1A"/>
          <w:sz w:val="20"/>
          <w:szCs w:val="20"/>
        </w:rPr>
        <w:t xml:space="preserve">The Val AUC drop of -0.0681 confirms moderate reliance on the circular features. However, Val AUC = 0.8763 proves that the 42 spectral delta statistics carry substantial discriminative signal independently. The conservative generalization AUC = 0.8763 is the number cited in all project documentation.</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11. Sample Site Visualizations - Nile Delta Inference</w:t>
      </w:r>
    </w:p>
    <w:p>
      <w:pPr>
        <w:spacing w:after="100" w:before="60"/>
        <w:jc w:val="both"/>
      </w:pPr>
      <w:r>
        <w:rPr>
          <w:rFonts w:ascii="Arial" w:cs="Arial" w:eastAsia="Arial" w:hAnsi="Arial"/>
          <w:b w:val="false"/>
          <w:bCs w:val="false"/>
          <w:i w:val="false"/>
          <w:iCs w:val="false"/>
          <w:color w:val="1A1A1A"/>
          <w:sz w:val="20"/>
          <w:szCs w:val="20"/>
        </w:rPr>
        <w:t xml:space="preserve">All images below are actual outputs from the trained KEMET1 Random Forest inference system. The batch pipeline processed all 78 positive sites, producing per-site HTML reports with before/after RGB composites, change score maps, and geocoded place names.</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11.1 All Detected Sites - Nile Delta Map</w:t>
      </w:r>
    </w:p>
    <w:p>
      <w:pPr>
        <w:spacing w:after="0" w:before="80"/>
        <w:jc w:val="center"/>
      </w:pPr>
      <w:r>
        <w:drawing>
          <wp:inline distT="0" distB="0" distL="0" distR="0">
            <wp:extent cx="5143500" cy="2333625"/>
            <wp:effectExtent t="0" r="0" b="0" l="0"/>
            <wp:docPr id="1" name="Figure 10 - All 78 detected encroachment sites across the Nile Delta agricultural zone from the full batch inference run." descr="Figure 10 - All 78 detected encroachment sites across the Nile Delta agricultural zone from the full batch inference run." title="Figure 10 - All 78 detected encroachment sites across the Nile Delta agricultural zone from the full batch inferenc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33362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10 - All 78 detected encroachment sites across the Nile Delta agricultural zone from the full batch inference run.</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11.2 Before/After Sample Tile Pairs</w:t>
      </w:r>
    </w:p>
    <w:p>
      <w:pPr>
        <w:spacing w:after="0" w:before="80"/>
        <w:jc w:val="center"/>
      </w:pPr>
      <w:r>
        <w:drawing>
          <wp:inline distT="0" distB="0" distL="0" distR="0">
            <wp:extent cx="5143500" cy="2333625"/>
            <wp:effectExtent t="0" r="0" b="0" l="0"/>
            <wp:docPr id="1" name="Figure 11 - Sample before/after spectral tile pairs from KEMET1. Green = healthy vegetation (2024 Before); grey/brown = built-up or bare soil (2025 After)." descr="Figure 11 - Sample before/after spectral tile pairs from KEMET1. Green = healthy vegetation (2024 Before); grey/brown = built-up or bare soil (2025 After)." title="Figure 11 - Sample before/after spectral tile pairs from KEMET1. Green = healthy vegetation (2024 Before); grey/brown = built-up or bare soil (2025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33362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11 - Sample before/after spectral tile pairs from KEMET1. Green = healthy vegetation (2024 Before); grey/brown = built-up or bare soil (2025 After).</w:t>
      </w:r>
    </w:p>
    <w:p>
      <w:pPr>
        <w:spacing w:after="80" w:before="0"/>
      </w:pPr>
      <w:r>
        <w:t xml:space="preserve"/>
      </w:r>
    </w:p>
    <w:p>
      <w:pPr>
        <w:pStyle w:val="Heading2"/>
        <w:spacing w:after="120" w:before="280"/>
      </w:pPr>
      <w:r>
        <w:rPr>
          <w:rFonts w:ascii="Arial" w:cs="Arial" w:eastAsia="Arial" w:hAnsi="Arial"/>
          <w:b/>
          <w:bCs/>
          <w:color w:val="00695C"/>
          <w:sz w:val="28"/>
          <w:szCs w:val="28"/>
        </w:rPr>
        <w:t xml:space="preserve">11.3 Individual Site Inference Reports (Screenshots)</w:t>
      </w:r>
    </w:p>
    <w:p>
      <w:pPr>
        <w:spacing w:after="0" w:before="80"/>
        <w:jc w:val="center"/>
      </w:pPr>
      <w:r>
        <w:drawing>
          <wp:inline distT="0" distB="0" distL="0" distR="0">
            <wp:extent cx="4953000" cy="2428875"/>
            <wp:effectExtent t="0" r="0" b="0" l="0"/>
            <wp:docPr id="1" name="Figure 12 - Site 3 inference report. Clear conversion of agricultural land to built-up surface between 2024 and 2025." descr="Figure 12 - Site 3 inference report. Clear conversion of agricultural land to built-up surface between 2024 and 2025." title="Figure 12 - Site 3 inference report. Clear conversion of agricultural land to built-up surface between 2024 and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42887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12 - Site 3 inference report. Clear conversion of agricultural land to built-up surface between 2024 and 2025.</w:t>
      </w:r>
    </w:p>
    <w:p>
      <w:pPr>
        <w:spacing w:after="80" w:before="0"/>
      </w:pPr>
      <w:r>
        <w:t xml:space="preserve"/>
      </w:r>
    </w:p>
    <w:p>
      <w:pPr>
        <w:spacing w:after="0" w:before="80"/>
        <w:jc w:val="center"/>
      </w:pPr>
      <w:r>
        <w:drawing>
          <wp:inline distT="0" distB="0" distL="0" distR="0">
            <wp:extent cx="4953000" cy="2428875"/>
            <wp:effectExtent t="0" r="0" b="0" l="0"/>
            <wp:docPr id="1" name="Figure 13 - Site 23 inference report. Confirmed encroachment event in the central Nile Delta." descr="Figure 13 - Site 23 inference report. Confirmed encroachment event in the central Nile Delta." title="Figure 13 - Site 23 inference report. Confirmed encroachment event in the central Nile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2887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13 - Site 23 inference report. Confirmed encroachment event in the central Nile Delta.</w:t>
      </w:r>
    </w:p>
    <w:p>
      <w:pPr>
        <w:spacing w:after="80" w:before="0"/>
      </w:pPr>
      <w:r>
        <w:t xml:space="preserve"/>
      </w:r>
    </w:p>
    <w:p>
      <w:pPr>
        <w:spacing w:after="0" w:before="80"/>
        <w:jc w:val="center"/>
      </w:pPr>
      <w:r>
        <w:drawing>
          <wp:inline distT="0" distB="0" distL="0" distR="0">
            <wp:extent cx="4953000" cy="2428875"/>
            <wp:effectExtent t="0" r="0" b="0" l="0"/>
            <wp:docPr id="1" name="Figure 14 - Site 0 inference report. Western delta margin detection." descr="Figure 14 - Site 0 inference report. Western delta margin detection." title="Figure 14 - Site 0 inference report. Western delta margin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42887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14 - Site 0 inference report. Western delta margin detection.</w:t>
      </w:r>
    </w:p>
    <w:p>
      <w:pPr>
        <w:spacing w:after="80" w:before="0"/>
      </w:pPr>
      <w:r>
        <w:t xml:space="preserve"/>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12. Cross-Dataset Performance Summary</w:t>
      </w:r>
    </w:p>
    <w:p>
      <w:pPr>
        <w:spacing w:after="0" w:before="80"/>
        <w:jc w:val="center"/>
      </w:pPr>
      <w:r>
        <w:drawing>
          <wp:inline distT="0" distB="0" distL="0" distR="0">
            <wp:extent cx="5143500" cy="2619375"/>
            <wp:effectExtent t="0" r="0" b="0" l="0"/>
            <wp:docPr id="1" name="Figure 15 - Cross-dataset performance summary. Grey = inherited published benchmark scores. Navy/teal = our KEMET1 training results." descr="Figure 15 - Cross-dataset performance summary. Grey = inherited published benchmark scores. Navy/teal = our KEMET1 training results." title="Figure 15 - Cross-dataset performance summary. Grey = inherited published benchmark scores. Navy/teal = our KEMET1 train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619375"/>
                    </a:xfrm>
                    <a:prstGeom prst="rect">
                      <a:avLst/>
                    </a:prstGeom>
                  </pic:spPr>
                </pic:pic>
              </a:graphicData>
            </a:graphic>
          </wp:inline>
        </w:drawing>
      </w:r>
    </w:p>
    <w:p>
      <w:pPr>
        <w:spacing w:after="160" w:before="40"/>
        <w:jc w:val="center"/>
      </w:pPr>
      <w:r>
        <w:rPr>
          <w:rFonts w:ascii="Arial" w:cs="Arial" w:eastAsia="Arial" w:hAnsi="Arial"/>
          <w:i/>
          <w:iCs/>
          <w:color w:val="455A64"/>
          <w:sz w:val="17"/>
          <w:szCs w:val="17"/>
        </w:rPr>
        <w:t xml:space="preserve">Figure 15 - Cross-dataset performance summary. Grey = inherited published benchmark scores. Navy/teal = our KEMET1 training results.</w:t>
      </w:r>
    </w:p>
    <w:p>
      <w:pPr>
        <w:spacing w:after="80" w:before="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000"/>
        <w:gridCol w:w="1100"/>
        <w:gridCol w:w="1160"/>
      </w:tblGrid>
      <w:tr>
        <w:trPr>
          <w:tblHeader/>
        </w:trPr>
        <w:tc>
          <w:tcPr>
            <w:tcW w:type="dxa" w:w="16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Metric</w:t>
            </w:r>
          </w:p>
        </w:tc>
        <w:tc>
          <w:tcPr>
            <w:tcW w:type="dxa" w:w="11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11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Trained by Us?</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38-Cloud</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 Detection</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U-Net + ResNet34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F1 Score</w:t>
            </w:r>
          </w:p>
        </w:tc>
        <w:tc>
          <w:tcPr>
            <w:tcW w:type="dxa" w:w="1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92.1%</w:t>
            </w:r>
          </w:p>
        </w:tc>
        <w:tc>
          <w:tcPr>
            <w:tcW w:type="dxa" w:w="1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LEVIR-CD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 Detection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ChangeFormer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F1 Score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98.75%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ADE20K</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Semantic Segmentation</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SegFormer-B4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mIoU</w:t>
            </w:r>
          </w:p>
        </w:tc>
        <w:tc>
          <w:tcPr>
            <w:tcW w:type="dxa" w:w="1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48.1%</w:t>
            </w:r>
          </w:p>
        </w:tc>
        <w:tc>
          <w:tcPr>
            <w:tcW w:type="dxa" w:w="1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SpaceNet 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Building Detection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YOLOv8m-seg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Building IoU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75.3%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w:t>
            </w:r>
          </w:p>
        </w:tc>
      </w:tr>
      <w:tr>
        <w:tc>
          <w:tcPr>
            <w:tcW w:type="dxa" w:w="16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KEMET1 Full</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Encroachment Classification</w:t>
            </w:r>
          </w:p>
        </w:tc>
        <w:tc>
          <w:tcPr>
            <w:tcW w:type="dxa" w:w="1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 Forest (46 feat)</w:t>
            </w:r>
          </w:p>
        </w:tc>
        <w:tc>
          <w:tcPr>
            <w:tcW w:type="dxa" w:w="20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Val AUC</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0.9444</w:t>
            </w:r>
          </w:p>
        </w:tc>
        <w:tc>
          <w:tcPr>
            <w:tcW w:type="dxa" w:w="116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YES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KEMET1 Ablation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Encroachment Classification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 Forest (44 feat)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Val AUC (conservative)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0.8763</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YES</w:t>
            </w:r>
          </w:p>
        </w:tc>
      </w:tr>
    </w:tbl>
    <w:p>
      <w:pPr>
        <w:spacing w:after="80" w:before="0"/>
      </w:pPr>
      <w:r>
        <w:t xml:space="preserve"/>
      </w:r>
    </w:p>
    <w:p>
      <w:pPr>
        <w:pStyle w:val="Heading2"/>
        <w:spacing w:after="120" w:before="280"/>
      </w:pPr>
      <w:r>
        <w:rPr>
          <w:rFonts w:ascii="Arial" w:cs="Arial" w:eastAsia="Arial" w:hAnsi="Arial"/>
          <w:b/>
          <w:bCs/>
          <w:color w:val="00695C"/>
          <w:sz w:val="28"/>
          <w:szCs w:val="28"/>
        </w:rPr>
        <w:t xml:space="preserve">12.1 Data Citations and Access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676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w:t>
            </w:r>
          </w:p>
        </w:tc>
        <w:tc>
          <w:tcPr>
            <w:tcW w:type="dxa" w:w="67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Citation / Access Link</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38-Cloud</w:t>
            </w:r>
          </w:p>
        </w:tc>
        <w:tc>
          <w:tcPr>
            <w:tcW w:type="dxa" w:w="6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Mohajerani and Saeedi (2019). github.com/SorourMo/38-Cloud-A-Cloud-Segmentation-Dataset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LEVIR-CD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Chen et al. (2021). Remote Sensing 13(5):942. doi:10.3390/rs13050942. justchenhao.github.io/LEVIR/</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ADE20K</w:t>
            </w:r>
          </w:p>
        </w:tc>
        <w:tc>
          <w:tcPr>
            <w:tcW w:type="dxa" w:w="6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Zhou et al. (2017). Scene Parsing through ADE20K Dataset. CVPR 2017. groups.csail.mit.edu/vision/datasets/ADE20K/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SpaceNet v2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SpaceNet LLC (2018). AWS Open Data Registry. s3://spacenet-dataset/spacenet/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KEMET1 BeforeAfter</w:t>
            </w:r>
          </w:p>
        </w:tc>
        <w:tc>
          <w:tcPr>
            <w:tcW w:type="dxa" w:w="6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This project (2025). Collected via Sentinel-2 GEE API. data/KEMET1_BeforeAfter/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Sentinel-2 L2A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ESA Copernicus (2015-present). sentinel.esa.int/web/sentinel/missions/sentinel-2</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55A64"/>
        <w:sz w:val="16"/>
        <w:szCs w:val="16"/>
      </w:rPr>
      <w:t xml:space="preserve">Faculty of Computers and Information - Graduation Project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i/>
        <w:iCs/>
        <w:color w:val="455A64"/>
        <w:sz w:val="16"/>
        <w:szCs w:val="16"/>
      </w:rPr>
      <w:t xml:space="preserve">KEMET1 - Datasets and Model Performance Report</w:t>
    </w:r>
    <w:r>
      <w:rPr>
        <w:rFonts w:ascii="Arial" w:cs="Arial" w:eastAsia="Arial" w:hAnsi="Arial"/>
        <w:color w:val="455A64"/>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36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69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0b13b765e9f9dbaac3ad9cc44c05b33ec3ab0e.png"/><Relationship Id="rId10" Type="http://schemas.openxmlformats.org/officeDocument/2006/relationships/image" Target="media/815552a9a93b0f829236b41180e5b79e58ebe52e.png"/><Relationship Id="rId11" Type="http://schemas.openxmlformats.org/officeDocument/2006/relationships/image" Target="media/728e9f8b1e3cd9f159a81f4ce92ee7f73783082f.png"/><Relationship Id="rId12" Type="http://schemas.openxmlformats.org/officeDocument/2006/relationships/image" Target="media/1d58af08a93bf9559aad6432aa5ec298a21ec11b.png"/><Relationship Id="rId13" Type="http://schemas.openxmlformats.org/officeDocument/2006/relationships/image" Target="media/80c4ea052db5d6f746a59e9b5c8d8b4cc9490425.png"/><Relationship Id="rId14" Type="http://schemas.openxmlformats.org/officeDocument/2006/relationships/image" Target="media/48141ccd4bb24452c0d364f7828c0bf4942a4df1.png"/><Relationship Id="rId15" Type="http://schemas.openxmlformats.org/officeDocument/2006/relationships/image" Target="media/f568474dc38911a4f1ab3b74c00e7935ff38ea8a.png"/><Relationship Id="rId16" Type="http://schemas.openxmlformats.org/officeDocument/2006/relationships/image" Target="media/c1f50f2fbe3f0398cd560d7c311c0a0954f7c6ef.png"/><Relationship Id="rId17" Type="http://schemas.openxmlformats.org/officeDocument/2006/relationships/image" Target="media/deabbe8f2965d8deee6e65fa3e8c24d693ee9fbb.png"/><Relationship Id="rId18" Type="http://schemas.openxmlformats.org/officeDocument/2006/relationships/image" Target="media/04f19e44e58d693b6d45b330234de5df111dcbfb.png"/><Relationship Id="rId19" Type="http://schemas.openxmlformats.org/officeDocument/2006/relationships/image" Target="media/ead827389a6243ae2891da89aa09cb501efd9e67.png"/><Relationship Id="rId20" Type="http://schemas.openxmlformats.org/officeDocument/2006/relationships/image" Target="media/180b0f5ebf1b0e613c04c1f7faa64f0ba8701bdf.png"/><Relationship Id="rId21" Type="http://schemas.openxmlformats.org/officeDocument/2006/relationships/image" Target="media/61390e90c8032abca4ede1e96de78439804dfa3e.png"/><Relationship Id="rId22" Type="http://schemas.openxmlformats.org/officeDocument/2006/relationships/image" Target="media/35b645bcce67d1e36ba5a31539f20ce2990ed818.png"/><Relationship Id="rId23" Type="http://schemas.openxmlformats.org/officeDocument/2006/relationships/image" Target="media/ca873856476d9d1154eca715ca7ac9f6732f89b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2026-06-29T14:47:07.051Z</dcterms:created>
  <dcterms:modified xsi:type="dcterms:W3CDTF">2026-06-29T14:47:07.087Z</dcterms:modified>
</cp:coreProperties>
</file>

<file path=docProps/custom.xml><?xml version="1.0" encoding="utf-8"?>
<Properties xmlns="http://schemas.openxmlformats.org/officeDocument/2006/custom-properties" xmlns:vt="http://schemas.openxmlformats.org/officeDocument/2006/docPropsVTypes"/>
</file>