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72"/>
          <w:szCs w:val="72"/>
        </w:rPr>
        <w:t xml:space="preserve">KEMET1</w:t>
      </w:r>
    </w:p>
    <w:p>
      <w:pPr>
        <w:spacing w:after="80" w:before="0"/>
        <w:jc w:val="center"/>
      </w:pPr>
      <w:r>
        <w:rPr>
          <w:rFonts w:ascii="Arial" w:cs="Arial" w:eastAsia="Arial" w:hAnsi="Arial"/>
          <w:color w:val="2E75B6"/>
          <w:sz w:val="40"/>
          <w:szCs w:val="40"/>
        </w:rPr>
        <w:t xml:space="preserve">Dataset Reference Document</w:t>
      </w:r>
    </w:p>
    <w:p>
      <w:pPr>
        <w:spacing w:after="600" w:before="0"/>
        <w:jc w:val="center"/>
      </w:pPr>
      <w:r>
        <w:rPr>
          <w:rFonts w:ascii="Arial" w:cs="Arial" w:eastAsia="Arial" w:hAnsi="Arial"/>
          <w:i/>
          <w:iCs/>
          <w:color w:val="555555"/>
          <w:sz w:val="26"/>
          <w:szCs w:val="26"/>
        </w:rPr>
        <w:t xml:space="preserve">Detecting Agricultural Land Encroachment in the Nile Delta</w:t>
      </w:r>
    </w:p>
    <w:p>
      <w:pPr>
        <w:spacing w:after="1200" w:before="0"/>
        <w:jc w:val="center"/>
      </w:pPr>
      <w:r>
        <w:rPr>
          <w:rFonts w:ascii="Arial" w:cs="Arial" w:eastAsia="Arial" w:hAnsi="Arial"/>
          <w:color w:val="888888"/>
          <w:sz w:val="22"/>
          <w:szCs w:val="22"/>
        </w:rPr>
        <w:t xml:space="preserve">Graduation Project  ·  Faculty of Computer Science  ·  2025</w:t>
      </w:r>
    </w:p>
    <w:p>
      <w:r>
        <w:br w:type="page"/>
      </w:r>
    </w:p>
    <w:p>
      <w:pPr>
        <w:pStyle w:val="Heading1"/>
        <w:pBdr>
          <w:bottom w:val="single" w:color="2E75B6" w:sz="6" w:space="6"/>
        </w:pBdr>
        <w:spacing w:after="160" w:before="320"/>
      </w:pPr>
      <w:r>
        <w:rPr>
          <w:rFonts w:ascii="Arial" w:cs="Arial" w:eastAsia="Arial" w:hAnsi="Arial"/>
          <w:b/>
          <w:bCs/>
          <w:color w:val="1F4E79"/>
          <w:sz w:val="36"/>
          <w:szCs w:val="36"/>
        </w:rPr>
        <w:t xml:space="preserve">1. Overview</w:t>
      </w:r>
    </w:p>
    <w:p>
      <w:pPr>
        <w:spacing w:after="60" w:before="60"/>
        <w:jc w:val="both"/>
      </w:pPr>
      <w:r>
        <w:rPr>
          <w:rFonts w:ascii="Arial" w:cs="Arial" w:eastAsia="Arial" w:hAnsi="Arial"/>
          <w:sz w:val="22"/>
          <w:szCs w:val="22"/>
        </w:rPr>
        <w:t xml:space="preserve">KEMET1 uses two categories of data: (a) the </w:t>
      </w:r>
      <w:r>
        <w:rPr>
          <w:rFonts w:ascii="Arial" w:cs="Arial" w:eastAsia="Arial" w:hAnsi="Arial"/>
          <w:b/>
          <w:bCs/>
          <w:sz w:val="22"/>
          <w:szCs w:val="22"/>
        </w:rPr>
        <w:t xml:space="preserve">KEMET1 BeforeAfter</w:t>
      </w:r>
      <w:r>
        <w:rPr>
          <w:rFonts w:ascii="Arial" w:cs="Arial" w:eastAsia="Arial" w:hAnsi="Arial"/>
          <w:sz w:val="22"/>
          <w:szCs w:val="22"/>
        </w:rPr>
        <w:t xml:space="preserve"> dataset, which the project team collected, labelled, and used to train the Random Forest encroachment classifier; and (b) external pre-trained model weights sourced from publicly available datasets. This document describes both categories, their provenance, structure, and role in the system.</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020"/>
        <w:gridCol w:w="2000"/>
        <w:gridCol w:w="2500"/>
      </w:tblGrid>
      <w:tr>
        <w:trPr>
          <w:tblHeader/>
        </w:trPr>
        <w:tc>
          <w:tcPr>
            <w:tcW w:type="dxa" w:w="22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Dataset</w:t>
            </w:r>
          </w:p>
        </w:tc>
        <w:tc>
          <w:tcPr>
            <w:tcW w:type="dxa" w:w="30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Purpose in KEMET1</w:t>
            </w:r>
          </w:p>
        </w:tc>
        <w:tc>
          <w:tcPr>
            <w:tcW w:type="dxa" w:w="20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Team-trained?</w:t>
            </w:r>
          </w:p>
        </w:tc>
        <w:tc>
          <w:tcPr>
            <w:tcW w:type="dxa" w:w="25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Scale</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w:t>
            </w:r>
          </w:p>
        </w:tc>
        <w:tc>
          <w:tcPr>
            <w:tcW w:type="dxa" w:w="30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RF classifier training &amp; pipeline testing</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YES — sole trained model</w:t>
            </w:r>
          </w:p>
        </w:tc>
        <w:tc>
          <w:tcPr>
            <w:tcW w:type="dxa" w:w="2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300 tile pairs (600 files)</w:t>
            </w:r>
          </w:p>
        </w:tc>
      </w:tr>
      <w:tr>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38-Cloud / Broader Sentinel-2</w:t>
            </w:r>
          </w:p>
        </w:tc>
        <w:tc>
          <w:tcPr>
            <w:tcW w:type="dxa" w:w="30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Cloud detection weights (Step 02)</w:t>
            </w:r>
          </w:p>
        </w:tc>
        <w:tc>
          <w:tcPr>
            <w:tcW w:type="dxa" w:w="20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 pre-trained weights only</w:t>
            </w:r>
          </w:p>
        </w:tc>
        <w:tc>
          <w:tcPr>
            <w:tcW w:type="dxa" w:w="25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Thousands of S2 scenes globally</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LEVIR-CD</w:t>
            </w:r>
          </w:p>
        </w:tc>
        <w:tc>
          <w:tcPr>
            <w:tcW w:type="dxa" w:w="30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 detection weights (Step 05)</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 pre-trained weights only</w:t>
            </w:r>
          </w:p>
        </w:tc>
        <w:tc>
          <w:tcPr>
            <w:tcW w:type="dxa" w:w="2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637 pairs, 7,120 patches</w:t>
            </w:r>
          </w:p>
        </w:tc>
      </w:tr>
      <w:tr>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ADE20K</w:t>
            </w:r>
          </w:p>
        </w:tc>
        <w:tc>
          <w:tcPr>
            <w:tcW w:type="dxa" w:w="30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Agriculture segmentation weights (Step 06)</w:t>
            </w:r>
          </w:p>
        </w:tc>
        <w:tc>
          <w:tcPr>
            <w:tcW w:type="dxa" w:w="20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 pre-trained weights only</w:t>
            </w:r>
          </w:p>
        </w:tc>
        <w:tc>
          <w:tcPr>
            <w:tcW w:type="dxa" w:w="25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20k images, 150 categories</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MS-COCO</w:t>
            </w:r>
          </w:p>
        </w:tc>
        <w:tc>
          <w:tcPr>
            <w:tcW w:type="dxa" w:w="30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Building detection weights (Step 07)</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 pre-trained weights only</w:t>
            </w:r>
          </w:p>
        </w:tc>
        <w:tc>
          <w:tcPr>
            <w:tcW w:type="dxa" w:w="2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330k images, 80 categories</w:t>
            </w:r>
          </w:p>
        </w:tc>
      </w:tr>
    </w:tbl>
    <w:p>
      <w:r>
        <w:br w:type="page"/>
      </w:r>
    </w:p>
    <w:p>
      <w:pPr>
        <w:pStyle w:val="Heading1"/>
        <w:pBdr>
          <w:bottom w:val="single" w:color="2E75B6" w:sz="6" w:space="6"/>
        </w:pBdr>
        <w:spacing w:after="160" w:before="320"/>
      </w:pPr>
      <w:r>
        <w:rPr>
          <w:rFonts w:ascii="Arial" w:cs="Arial" w:eastAsia="Arial" w:hAnsi="Arial"/>
          <w:b/>
          <w:bCs/>
          <w:color w:val="1F4E79"/>
          <w:sz w:val="36"/>
          <w:szCs w:val="36"/>
        </w:rPr>
        <w:t xml:space="preserve">2. KEMET1 BeforeAfter Dataset</w:t>
      </w:r>
    </w:p>
    <w:p>
      <w:pPr>
        <w:spacing w:after="60" w:before="60"/>
        <w:jc w:val="both"/>
      </w:pPr>
      <w:r>
        <w:rPr>
          <w:rFonts w:ascii="Arial" w:cs="Arial" w:eastAsia="Arial" w:hAnsi="Arial"/>
          <w:sz w:val="22"/>
          <w:szCs w:val="22"/>
        </w:rPr>
        <w:t xml:space="preserve">This is the primary dataset of the project. The team assembled it from Sentinel-2 satellite imagery over the Nile Delta, labelled each tile pair as positive (confirmed encroachment) or negative (no encroachment), and used it to train, validate, and test the Random Forest classifier. It is also the input format consumed by the full 8-step pipeline at runtime.</w:t>
      </w:r>
    </w:p>
    <w:p>
      <w:pPr>
        <w:pStyle w:val="Heading2"/>
        <w:spacing w:after="100" w:before="240"/>
      </w:pPr>
      <w:r>
        <w:rPr>
          <w:rFonts w:ascii="Arial" w:cs="Arial" w:eastAsia="Arial" w:hAnsi="Arial"/>
          <w:b/>
          <w:bCs/>
          <w:color w:val="2E75B6"/>
          <w:sz w:val="28"/>
          <w:szCs w:val="28"/>
        </w:rPr>
        <w:t xml:space="preserve">2.1 Study Area</w:t>
      </w:r>
    </w:p>
    <w:p>
      <w:pPr>
        <w:spacing w:after="60" w:before="60"/>
        <w:jc w:val="both"/>
      </w:pPr>
      <w:r>
        <w:rPr>
          <w:rFonts w:ascii="Arial" w:cs="Arial" w:eastAsia="Arial" w:hAnsi="Arial"/>
          <w:b/>
          <w:bCs/>
          <w:sz w:val="22"/>
          <w:szCs w:val="22"/>
        </w:rPr>
        <w:t xml:space="preserve">Geographic scope:</w:t>
      </w:r>
      <w:r>
        <w:rPr>
          <w:rFonts w:ascii="Arial" w:cs="Arial" w:eastAsia="Arial" w:hAnsi="Arial"/>
          <w:sz w:val="22"/>
          <w:szCs w:val="22"/>
        </w:rPr>
        <w:t xml:space="preserve"> Nile Delta agricultural belt, Egypt, bounded approximately by 29.5°E to 32.0°E longitude and 30.0°N to 31.5°N latitude. The Nile Delta contains the most productive agricultural land in Egypt; it is under persistent encroachment pressure from informal urban expansion, which reduces cultivable area and threatens food security.</w:t>
      </w:r>
    </w:p>
    <w:p>
      <w:pPr>
        <w:spacing w:after="60" w:before="60"/>
        <w:jc w:val="both"/>
      </w:pPr>
      <w:r>
        <w:rPr>
          <w:rFonts w:ascii="Arial" w:cs="Arial" w:eastAsia="Arial" w:hAnsi="Arial"/>
          <w:b/>
          <w:bCs/>
          <w:sz w:val="22"/>
          <w:szCs w:val="22"/>
        </w:rPr>
        <w:t xml:space="preserve">Satellite source:</w:t>
      </w:r>
      <w:r>
        <w:rPr>
          <w:rFonts w:ascii="Arial" w:cs="Arial" w:eastAsia="Arial" w:hAnsi="Arial"/>
          <w:sz w:val="22"/>
          <w:szCs w:val="22"/>
        </w:rPr>
        <w:t xml:space="preserve"> HORUS-1 (Egyptian Space Agency, EgSA), supplemented by MisrSat-2 and Sentinel-2 (ESA Copernicus). Tile acquisition follows a 20-day revisit cycle. Image pairs are selected as same-season year-over-year comparisons (T1 = 2024, T2 = 2025) to eliminate seasonal NDVI variation as a confound.</w:t>
      </w:r>
    </w:p>
    <w:p>
      <w:pPr>
        <w:pStyle w:val="Heading2"/>
        <w:spacing w:after="100" w:before="240"/>
      </w:pPr>
      <w:r>
        <w:rPr>
          <w:rFonts w:ascii="Arial" w:cs="Arial" w:eastAsia="Arial" w:hAnsi="Arial"/>
          <w:b/>
          <w:bCs/>
          <w:color w:val="2E75B6"/>
          <w:sz w:val="28"/>
          <w:szCs w:val="28"/>
        </w:rPr>
        <w:t xml:space="preserve">2.2 File Structure</w:t>
      </w:r>
    </w:p>
    <w:p>
      <w:pPr>
        <w:spacing w:after="60" w:before="60"/>
        <w:jc w:val="both"/>
      </w:pPr>
      <w:r>
        <w:rPr>
          <w:rFonts w:ascii="Arial" w:cs="Arial" w:eastAsia="Arial" w:hAnsi="Arial"/>
          <w:sz w:val="22"/>
          <w:szCs w:val="22"/>
        </w:rPr>
        <w:t xml:space="preserve">Each site contributes exactly two GeoTIFF files:</w:t>
      </w:r>
    </w:p>
    <w:p>
      <w:pPr>
        <w:pStyle w:val="ListParagraph"/>
        <w:numPr>
          <w:ilvl w:val="0"/>
          <w:numId w:val="2"/>
        </w:numPr>
        <w:spacing w:after="40" w:before="40"/>
      </w:pPr>
      <w:r>
        <w:rPr>
          <w:rFonts w:ascii="Arial" w:cs="Arial" w:eastAsia="Arial" w:hAnsi="Arial"/>
          <w:b/>
          <w:bCs/>
          <w:sz w:val="22"/>
          <w:szCs w:val="22"/>
        </w:rPr>
        <w:t xml:space="preserve">siteN_before_2024.tif</w:t>
      </w:r>
      <w:r>
        <w:rPr>
          <w:rFonts w:ascii="Arial" w:cs="Arial" w:eastAsia="Arial" w:hAnsi="Arial"/>
          <w:sz w:val="22"/>
          <w:szCs w:val="22"/>
        </w:rPr>
        <w:t xml:space="preserve"> — the baseline (T1) image captured in 2024</w:t>
      </w:r>
    </w:p>
    <w:p>
      <w:pPr>
        <w:pStyle w:val="ListParagraph"/>
        <w:numPr>
          <w:ilvl w:val="0"/>
          <w:numId w:val="2"/>
        </w:numPr>
        <w:spacing w:after="40" w:before="40"/>
      </w:pPr>
      <w:r>
        <w:rPr>
          <w:rFonts w:ascii="Arial" w:cs="Arial" w:eastAsia="Arial" w:hAnsi="Arial"/>
          <w:b/>
          <w:bCs/>
          <w:sz w:val="22"/>
          <w:szCs w:val="22"/>
        </w:rPr>
        <w:t xml:space="preserve">siteN_after_2025.tif</w:t>
      </w:r>
      <w:r>
        <w:rPr>
          <w:rFonts w:ascii="Arial" w:cs="Arial" w:eastAsia="Arial" w:hAnsi="Arial"/>
          <w:sz w:val="22"/>
          <w:szCs w:val="22"/>
        </w:rPr>
        <w:t xml:space="preserve"> — the comparison (T2) image captured in 2025</w:t>
      </w:r>
    </w:p>
    <w:p>
      <w:pPr>
        <w:spacing w:after="0" w:before="80"/>
      </w:pPr>
      <w:r>
        <w:t xml:space="preserve"/>
      </w:r>
    </w:p>
    <w:p>
      <w:pPr>
        <w:spacing w:after="60" w:before="60"/>
        <w:jc w:val="both"/>
      </w:pPr>
      <w:r>
        <w:rPr>
          <w:rFonts w:ascii="Arial" w:cs="Arial" w:eastAsia="Arial" w:hAnsi="Arial"/>
          <w:sz w:val="22"/>
          <w:szCs w:val="22"/>
        </w:rPr>
        <w:t xml:space="preserve">All 600 files reside in: </w:t>
      </w:r>
      <w:r>
        <w:rPr>
          <w:rFonts w:ascii="Arial" w:cs="Arial" w:eastAsia="Arial" w:hAnsi="Arial"/>
          <w:b/>
          <w:bCs/>
          <w:sz w:val="22"/>
          <w:szCs w:val="22"/>
        </w:rPr>
        <w:t xml:space="preserve">data/KEMET1_BeforeAfter/KEMET1_BeforeAfter_Tiles/</w:t>
      </w:r>
    </w:p>
    <w:p>
      <w:pPr>
        <w:spacing w:after="0" w:before="80"/>
      </w:pPr>
      <w:r>
        <w:t xml:space="preserve"/>
      </w:r>
    </w:p>
    <w:p>
      <w:pPr>
        <w:spacing w:after="60" w:before="60"/>
        <w:jc w:val="both"/>
      </w:pPr>
      <w:r>
        <w:rPr>
          <w:rFonts w:ascii="Arial" w:cs="Arial" w:eastAsia="Arial" w:hAnsi="Arial"/>
          <w:sz w:val="22"/>
          <w:szCs w:val="22"/>
        </w:rPr>
        <w:t xml:space="preserve">Each GeoTIFF contains </w:t>
      </w:r>
      <w:r>
        <w:rPr>
          <w:rFonts w:ascii="Arial" w:cs="Arial" w:eastAsia="Arial" w:hAnsi="Arial"/>
          <w:b/>
          <w:bCs/>
          <w:sz w:val="22"/>
          <w:szCs w:val="22"/>
        </w:rPr>
        <w:t xml:space="preserve">6 precomputed spectral index bands</w:t>
      </w:r>
      <w:r>
        <w:rPr>
          <w:rFonts w:ascii="Arial" w:cs="Arial" w:eastAsia="Arial" w:hAnsi="Arial"/>
          <w:sz w:val="22"/>
          <w:szCs w:val="22"/>
        </w:rPr>
        <w:t xml:space="preserve"> (not raw reflectance). This avoids storing multi-gigabyte raw Sentinel-2 L2A archives while retaining all information needed for classification: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200"/>
        <w:gridCol w:w="5420"/>
      </w:tblGrid>
      <w:tr>
        <w:trPr>
          <w:tblHeader/>
        </w:trPr>
        <w:tc>
          <w:tcPr>
            <w:tcW w:type="dxa" w:w="6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Band</w:t>
            </w:r>
          </w:p>
        </w:tc>
        <w:tc>
          <w:tcPr>
            <w:tcW w:type="dxa" w:w="15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Index</w:t>
            </w:r>
          </w:p>
        </w:tc>
        <w:tc>
          <w:tcPr>
            <w:tcW w:type="dxa" w:w="22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Formula</w:t>
            </w:r>
          </w:p>
        </w:tc>
        <w:tc>
          <w:tcPr>
            <w:tcW w:type="dxa" w:w="54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Encroachment relevance</w:t>
            </w:r>
          </w:p>
        </w:tc>
      </w:tr>
      <w:tr>
        <w:tc>
          <w:tcPr>
            <w:tcW w:type="dxa" w:w="6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NDVI</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(NIR−R)/(NIR+R)</w:t>
            </w:r>
          </w:p>
        </w:tc>
        <w:tc>
          <w:tcPr>
            <w:tcW w:type="dxa" w:w="54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Vegetation health; drops when farmland is cleared</w:t>
            </w:r>
          </w:p>
        </w:tc>
      </w:tr>
      <w:tr>
        <w:tc>
          <w:tcPr>
            <w:tcW w:type="dxa" w:w="6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c>
          <w:tcPr>
            <w:tcW w:type="dxa" w:w="15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(SWIR−NIR)/(SWIR+NIR)</w:t>
            </w:r>
          </w:p>
        </w:tc>
        <w:tc>
          <w:tcPr>
            <w:tcW w:type="dxa" w:w="54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Built-up surface index; rises when concrete/brick appears</w:t>
            </w:r>
          </w:p>
        </w:tc>
      </w:tr>
      <w:tr>
        <w:tc>
          <w:tcPr>
            <w:tcW w:type="dxa" w:w="6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MNDWI</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(G−SWIR)/(G+SWIR)</w:t>
            </w:r>
          </w:p>
        </w:tc>
        <w:tc>
          <w:tcPr>
            <w:tcW w:type="dxa" w:w="54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Water mask; suppresses irrigation canal false alarms</w:t>
            </w:r>
          </w:p>
        </w:tc>
      </w:tr>
      <w:tr>
        <w:tc>
          <w:tcPr>
            <w:tcW w:type="dxa" w:w="6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15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SAVI</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1.5·(NIR−R)/(NIR+R+0.5)</w:t>
            </w:r>
          </w:p>
        </w:tc>
        <w:tc>
          <w:tcPr>
            <w:tcW w:type="dxa" w:w="54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Soil-adjusted vegetation; stable over bare soil backgrounds</w:t>
            </w:r>
          </w:p>
        </w:tc>
      </w:tr>
      <w:tr>
        <w:tc>
          <w:tcPr>
            <w:tcW w:type="dxa" w:w="6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BSI</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((SWIR+R)−(NIR+B))/…</w:t>
            </w:r>
          </w:p>
        </w:tc>
        <w:tc>
          <w:tcPr>
            <w:tcW w:type="dxa" w:w="54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Bare soil index; rises during land clearing phase</w:t>
            </w:r>
          </w:p>
        </w:tc>
      </w:tr>
      <w:tr>
        <w:tc>
          <w:tcPr>
            <w:tcW w:type="dxa" w:w="6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w:t>
            </w:r>
          </w:p>
        </w:tc>
        <w:tc>
          <w:tcPr>
            <w:tcW w:type="dxa" w:w="15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NDWI</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(G−NIR)/(G+NIR)</w:t>
            </w:r>
          </w:p>
        </w:tc>
        <w:tc>
          <w:tcPr>
            <w:tcW w:type="dxa" w:w="54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Open-water indicator; guards against canal-edge noise</w:t>
            </w:r>
          </w:p>
        </w:tc>
      </w:tr>
    </w:tbl>
    <w:p>
      <w:pPr>
        <w:spacing w:after="0" w:before="160"/>
      </w:pPr>
      <w:r>
        <w:t xml:space="preserve"/>
      </w:r>
    </w:p>
    <w:p>
      <w:pPr>
        <w:spacing w:after="60" w:before="60"/>
        <w:jc w:val="both"/>
      </w:pPr>
      <w:r>
        <w:rPr>
          <w:rFonts w:ascii="Arial" w:cs="Arial" w:eastAsia="Arial" w:hAnsi="Arial"/>
          <w:b/>
          <w:bCs/>
          <w:sz w:val="22"/>
          <w:szCs w:val="22"/>
        </w:rPr>
        <w:t xml:space="preserve">Pixel resolution:</w:t>
      </w:r>
      <w:r>
        <w:rPr>
          <w:rFonts w:ascii="Arial" w:cs="Arial" w:eastAsia="Arial" w:hAnsi="Arial"/>
          <w:sz w:val="22"/>
          <w:szCs w:val="22"/>
        </w:rPr>
        <w:t xml:space="preserve"> 10 m (native Sentinel-2 Band 4/8 resolution, resampled where needed). </w:t>
      </w:r>
      <w:r>
        <w:rPr>
          <w:rFonts w:ascii="Arial" w:cs="Arial" w:eastAsia="Arial" w:hAnsi="Arial"/>
          <w:b/>
          <w:bCs/>
          <w:sz w:val="22"/>
          <w:szCs w:val="22"/>
        </w:rPr>
        <w:t xml:space="preserve">CRS:</w:t>
      </w:r>
      <w:r>
        <w:rPr>
          <w:rFonts w:ascii="Arial" w:cs="Arial" w:eastAsia="Arial" w:hAnsi="Arial"/>
          <w:sz w:val="22"/>
          <w:szCs w:val="22"/>
        </w:rPr>
        <w:t xml:space="preserve"> WGS 84 / UTM Zone 36N (EPSG:32636). Tile sizes are approximately 262×263 pixels (~6.9 km² per tile).</w:t>
      </w:r>
    </w:p>
    <w:p>
      <w:pPr>
        <w:pStyle w:val="Heading2"/>
        <w:spacing w:after="100" w:before="240"/>
      </w:pPr>
      <w:r>
        <w:rPr>
          <w:rFonts w:ascii="Arial" w:cs="Arial" w:eastAsia="Arial" w:hAnsi="Arial"/>
          <w:b/>
          <w:bCs/>
          <w:color w:val="2E75B6"/>
          <w:sz w:val="28"/>
          <w:szCs w:val="28"/>
        </w:rPr>
        <w:t xml:space="preserve">2.3 Dataset Composition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Value</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Positive sites</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Negative sites</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Total tile pairs</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300</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78 (26%)</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222 (74%)</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GeoTIFF files</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156</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444</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Bands per file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 spectral indices</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Pixel resolution</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10 m</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T1 acquisition year</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2024</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T2 acquisition year</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2025</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Spatial coverage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Nile Delta, Egypt</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bl>
    <w:p>
      <w:pPr>
        <w:spacing w:after="0" w:before="160"/>
      </w:pPr>
      <w:r>
        <w:t xml:space="preserve"/>
      </w:r>
    </w:p>
    <w:p>
      <w:pPr>
        <w:spacing w:after="60" w:before="60"/>
        <w:jc w:val="both"/>
      </w:pPr>
      <w:r>
        <w:rPr>
          <w:rFonts w:ascii="Arial" w:cs="Arial" w:eastAsia="Arial" w:hAnsi="Arial"/>
          <w:b/>
          <w:bCs/>
          <w:sz w:val="22"/>
          <w:szCs w:val="22"/>
        </w:rPr>
        <w:t xml:space="preserve">Positive sites</w:t>
      </w:r>
      <w:r>
        <w:rPr>
          <w:rFonts w:ascii="Arial" w:cs="Arial" w:eastAsia="Arial" w:hAnsi="Arial"/>
          <w:sz w:val="22"/>
          <w:szCs w:val="22"/>
        </w:rPr>
        <w:t xml:space="preserve"> are tile pairs where verifiable agricultural-to-built conversion occurred between T1 and T2, confirmed by visual inspection and cross-referenced with cadastral encroachment reports. </w:t>
      </w:r>
      <w:r>
        <w:rPr>
          <w:rFonts w:ascii="Arial" w:cs="Arial" w:eastAsia="Arial" w:hAnsi="Arial"/>
          <w:b/>
          <w:bCs/>
          <w:sz w:val="22"/>
          <w:szCs w:val="22"/>
        </w:rPr>
        <w:t xml:space="preserve">Negative sites</w:t>
      </w:r>
      <w:r>
        <w:rPr>
          <w:rFonts w:ascii="Arial" w:cs="Arial" w:eastAsia="Arial" w:hAnsi="Arial"/>
          <w:sz w:val="22"/>
          <w:szCs w:val="22"/>
        </w:rPr>
        <w:t xml:space="preserve"> are tile pairs with no change or with reversible seasonal spectral variation only.</w:t>
      </w:r>
    </w:p>
    <w:p>
      <w:pPr>
        <w:pStyle w:val="Heading2"/>
        <w:spacing w:after="100" w:before="240"/>
      </w:pPr>
      <w:r>
        <w:rPr>
          <w:rFonts w:ascii="Arial" w:cs="Arial" w:eastAsia="Arial" w:hAnsi="Arial"/>
          <w:b/>
          <w:bCs/>
          <w:color w:val="2E75B6"/>
          <w:sz w:val="28"/>
          <w:szCs w:val="28"/>
        </w:rPr>
        <w:t xml:space="preserve">2.4 Training, Validation, and Test Splits</w:t>
      </w:r>
    </w:p>
    <w:p>
      <w:pPr>
        <w:spacing w:after="60" w:before="60"/>
        <w:jc w:val="both"/>
      </w:pPr>
      <w:r>
        <w:rPr>
          <w:rFonts w:ascii="Arial" w:cs="Arial" w:eastAsia="Arial" w:hAnsi="Arial"/>
          <w:sz w:val="22"/>
          <w:szCs w:val="22"/>
        </w:rPr>
        <w:t xml:space="preserve">The dataset is split into three non-overlapping subsets. Stratified sampling is used to maintain the 78/222 positive/negative ratio in each split: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1620"/>
        <w:gridCol w:w="1620"/>
        <w:gridCol w:w="2025"/>
        <w:gridCol w:w="2025"/>
      </w:tblGrid>
      <w:tr>
        <w:trPr>
          <w:tblHeader/>
        </w:trPr>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Split</w:t>
            </w:r>
          </w:p>
        </w:tc>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Sites</w:t>
            </w:r>
          </w:p>
        </w:tc>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Fraction</w:t>
            </w:r>
          </w:p>
        </w:tc>
        <w:tc>
          <w:tcPr>
            <w:tcW w:type="dxa" w:w="2025"/>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Positive</w:t>
            </w:r>
          </w:p>
        </w:tc>
        <w:tc>
          <w:tcPr>
            <w:tcW w:type="dxa" w:w="2025"/>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Negative</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Training</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180</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w:t>
            </w:r>
          </w:p>
        </w:tc>
        <w:tc>
          <w:tcPr>
            <w:tcW w:type="dxa" w:w="2025"/>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~47</w:t>
            </w:r>
          </w:p>
        </w:tc>
        <w:tc>
          <w:tcPr>
            <w:tcW w:type="dxa" w:w="2025"/>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~133</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Validation</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w:t>
            </w:r>
          </w:p>
        </w:tc>
        <w:tc>
          <w:tcPr>
            <w:tcW w:type="dxa" w:w="2025"/>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~16</w:t>
            </w:r>
          </w:p>
        </w:tc>
        <w:tc>
          <w:tcPr>
            <w:tcW w:type="dxa" w:w="2025"/>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~44</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 (held-out)</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w:t>
            </w:r>
          </w:p>
        </w:tc>
        <w:tc>
          <w:tcPr>
            <w:tcW w:type="dxa" w:w="2025"/>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~16</w:t>
            </w:r>
          </w:p>
        </w:tc>
        <w:tc>
          <w:tcPr>
            <w:tcW w:type="dxa" w:w="2025"/>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~44</w:t>
            </w:r>
          </w:p>
        </w:tc>
      </w:tr>
    </w:tbl>
    <w:p>
      <w:pPr>
        <w:spacing w:after="0" w:before="160"/>
      </w:pPr>
      <w:r>
        <w:t xml:space="preserve"/>
      </w:r>
    </w:p>
    <w:p>
      <w:pPr>
        <w:spacing w:after="60" w:before="60"/>
        <w:jc w:val="both"/>
      </w:pPr>
      <w:r>
        <w:rPr>
          <w:rFonts w:ascii="Arial" w:cs="Arial" w:eastAsia="Arial" w:hAnsi="Arial"/>
          <w:sz w:val="22"/>
          <w:szCs w:val="22"/>
        </w:rPr>
        <w:t xml:space="preserve">The test split is kept strictly held-out during all model development cycles. Threshold optimisation uses the validation split only.</w:t>
      </w:r>
    </w:p>
    <w:p>
      <w:pPr>
        <w:pStyle w:val="Heading2"/>
        <w:spacing w:after="100" w:before="240"/>
      </w:pPr>
      <w:r>
        <w:rPr>
          <w:rFonts w:ascii="Arial" w:cs="Arial" w:eastAsia="Arial" w:hAnsi="Arial"/>
          <w:b/>
          <w:bCs/>
          <w:color w:val="2E75B6"/>
          <w:sz w:val="28"/>
          <w:szCs w:val="28"/>
        </w:rPr>
        <w:t xml:space="preserve">2.5 Feature Engineering for the RF Classifier</w:t>
      </w:r>
    </w:p>
    <w:p>
      <w:pPr>
        <w:spacing w:after="60" w:before="60"/>
        <w:jc w:val="both"/>
      </w:pPr>
      <w:r>
        <w:rPr>
          <w:rFonts w:ascii="Arial" w:cs="Arial" w:eastAsia="Arial" w:hAnsi="Arial"/>
          <w:sz w:val="22"/>
          <w:szCs w:val="22"/>
        </w:rPr>
        <w:t xml:space="preserve">For each tile pair, 48 tabular features are extracted from the 6-band GeoTIFFs and fed to the Random Forest classifier. Features capture per-band statistics at T1, T2, and the difference (T2−T1):</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4860"/>
      </w:tblGrid>
      <w:tr>
        <w:trPr>
          <w:tblHeader/>
        </w:trPr>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Feature group</w:t>
            </w:r>
          </w:p>
        </w:tc>
        <w:tc>
          <w:tcPr>
            <w:tcW w:type="dxa" w:w="324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Features (48 total)</w:t>
            </w:r>
          </w:p>
        </w:tc>
        <w:tc>
          <w:tcPr>
            <w:tcW w:type="dxa" w:w="48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Description</w:t>
            </w:r>
          </w:p>
        </w:tc>
      </w:tr>
      <w:tr>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Per-band stats</w:t>
            </w:r>
          </w:p>
        </w:tc>
        <w:tc>
          <w:tcPr>
            <w:tcW w:type="dxa" w:w="32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[INDEX]_T1_mean, _T1_std,
_T2_mean, _T2_std,
_diff_mean, _diff_std
× 6 indices = 36 features</w:t>
            </w:r>
          </w:p>
        </w:tc>
        <w:tc>
          <w:tcPr>
            <w:tcW w:type="dxa" w:w="48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and standard deviation of each spectral index in the before image, after image, and their pixel-wise difference. Covers NDVI, NDBI, MNDWI, SAVI, BSI, NDWI.</w:t>
            </w:r>
          </w:p>
        </w:tc>
      </w:tr>
      <w:tr>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 magnitude</w:t>
            </w:r>
          </w:p>
        </w:tc>
        <w:tc>
          <w:tcPr>
            <w:tcW w:type="dxa" w:w="32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abs_change_mean,
frac_changed_5pct,
frac_changed_10pct</w:t>
            </w:r>
          </w:p>
        </w:tc>
        <w:tc>
          <w:tcPr>
            <w:tcW w:type="dxa" w:w="48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absolute pixel-wise change across all 6 bands; fraction of pixels with absolute change &gt; 5% and &gt; 10%.</w:t>
            </w:r>
          </w:p>
        </w:tc>
      </w:tr>
      <w:tr>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NDVI drop</w:t>
            </w:r>
          </w:p>
        </w:tc>
        <w:tc>
          <w:tcPr>
            <w:tcW w:type="dxa" w:w="32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ndvi_drop_mean,
ndvi_drop_pct_5,
ndvi_drop_pct_10</w:t>
            </w:r>
          </w:p>
        </w:tc>
        <w:tc>
          <w:tcPr>
            <w:tcW w:type="dxa" w:w="48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vegetation loss (negative NDVI difference); fraction of pixels with NDVI drop &gt; 5% and &gt; 10%.</w:t>
            </w:r>
          </w:p>
        </w:tc>
      </w:tr>
      <w:tr>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 rise</w:t>
            </w:r>
          </w:p>
        </w:tc>
        <w:tc>
          <w:tcPr>
            <w:tcW w:type="dxa" w:w="32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ndbi_rise_mean,
ndbi_rise_pct_5,
ndbi_rise_pct_10</w:t>
            </w:r>
          </w:p>
        </w:tc>
        <w:tc>
          <w:tcPr>
            <w:tcW w:type="dxa" w:w="48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built-up index increase; fraction of pixels with NDBI rise &gt; 5% and &gt; 10%.</w:t>
            </w:r>
          </w:p>
        </w:tc>
      </w:tr>
      <w:tr>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BSI rise</w:t>
            </w:r>
          </w:p>
        </w:tc>
        <w:tc>
          <w:tcPr>
            <w:tcW w:type="dxa" w:w="32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bsi_rise_mean,
bsi_rise_pct_5,
bsi_rise_pct_10</w:t>
            </w:r>
          </w:p>
        </w:tc>
        <w:tc>
          <w:tcPr>
            <w:tcW w:type="dxa" w:w="48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bare-soil index increase; sensitive to the clearing phase before construction.</w:t>
            </w:r>
          </w:p>
        </w:tc>
      </w:tr>
      <w:tr>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Prior label</w:t>
            </w:r>
          </w:p>
        </w:tc>
        <w:tc>
          <w:tcPr>
            <w:tcW w:type="dxa" w:w="32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t1_is_pos</w:t>
            </w:r>
          </w:p>
        </w:tc>
        <w:tc>
          <w:tcPr>
            <w:tcW w:type="dxa" w:w="48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Binary flag: 1 if the T1 site is already a known positive (previously encroached). Highest importance feature (0.077). Suppresses pos→pos false alarms.</w:t>
            </w:r>
          </w:p>
        </w:tc>
      </w:tr>
    </w:tbl>
    <w:p>
      <w:r>
        <w:br w:type="page"/>
      </w:r>
    </w:p>
    <w:p>
      <w:pPr>
        <w:pStyle w:val="Heading1"/>
        <w:pBdr>
          <w:bottom w:val="single" w:color="2E75B6" w:sz="6" w:space="6"/>
        </w:pBdr>
        <w:spacing w:after="160" w:before="320"/>
      </w:pPr>
      <w:r>
        <w:rPr>
          <w:rFonts w:ascii="Arial" w:cs="Arial" w:eastAsia="Arial" w:hAnsi="Arial"/>
          <w:b/>
          <w:bCs/>
          <w:color w:val="1F4E79"/>
          <w:sz w:val="36"/>
          <w:szCs w:val="36"/>
        </w:rPr>
        <w:t xml:space="preserve">3. External Pre-Trained Datasets</w:t>
      </w:r>
    </w:p>
    <w:p>
      <w:pPr>
        <w:spacing w:after="60" w:before="60"/>
        <w:jc w:val="both"/>
      </w:pPr>
      <w:r>
        <w:rPr>
          <w:rFonts w:ascii="Arial" w:cs="Arial" w:eastAsia="Arial" w:hAnsi="Arial"/>
          <w:sz w:val="22"/>
          <w:szCs w:val="22"/>
        </w:rPr>
        <w:t xml:space="preserve">The KEMET1 pipeline integrates four deep-learning models for Steps 02, 05, 06, and 07. The team did </w:t>
      </w:r>
      <w:r>
        <w:rPr>
          <w:rFonts w:ascii="Arial" w:cs="Arial" w:eastAsia="Arial" w:hAnsi="Arial"/>
          <w:b/>
          <w:bCs/>
          <w:sz w:val="22"/>
          <w:szCs w:val="22"/>
        </w:rPr>
        <w:t xml:space="preserve">not</w:t>
      </w:r>
      <w:r>
        <w:rPr>
          <w:rFonts w:ascii="Arial" w:cs="Arial" w:eastAsia="Arial" w:hAnsi="Arial"/>
          <w:sz w:val="22"/>
          <w:szCs w:val="22"/>
        </w:rPr>
        <w:t xml:space="preserve"> train these models from scratch. Instead, publicly available pre-trained weights were downloaded and integrated as-is. The datasets listed in this section were used by the original authors to train those weights; the team’s contribution is solely the integration and fallback design around them.</w:t>
      </w:r>
    </w:p>
    <w:p>
      <w:pPr>
        <w:pStyle w:val="Heading2"/>
        <w:spacing w:after="100" w:before="240"/>
      </w:pPr>
      <w:r>
        <w:rPr>
          <w:rFonts w:ascii="Arial" w:cs="Arial" w:eastAsia="Arial" w:hAnsi="Arial"/>
          <w:b/>
          <w:bCs/>
          <w:color w:val="2E75B6"/>
          <w:sz w:val="28"/>
          <w:szCs w:val="28"/>
        </w:rPr>
        <w:t xml:space="preserve">3.1 38-Cloud / Broader Sentinel-2 — Cloud Detection (Step 02)</w:t>
      </w:r>
    </w:p>
    <w:p>
      <w:pPr>
        <w:pStyle w:val="Heading3"/>
        <w:spacing w:after="80" w:before="180"/>
      </w:pPr>
      <w:r>
        <w:rPr>
          <w:rFonts w:ascii="Arial" w:cs="Arial" w:eastAsia="Arial" w:hAnsi="Arial"/>
          <w:b/>
          <w:bCs/>
          <w:color w:val="1F4E79"/>
          <w:sz w:val="24"/>
          <w:szCs w:val="24"/>
        </w:rPr>
        <w:t xml:space="preserve">Purpose</w:t>
      </w:r>
    </w:p>
    <w:p>
      <w:pPr>
        <w:spacing w:after="60" w:before="60"/>
        <w:jc w:val="both"/>
      </w:pPr>
      <w:r>
        <w:rPr>
          <w:rFonts w:ascii="Arial" w:cs="Arial" w:eastAsia="Arial" w:hAnsi="Arial"/>
          <w:sz w:val="22"/>
          <w:szCs w:val="22"/>
        </w:rPr>
        <w:t xml:space="preserve">Provides weights for the cloud detection U-Net used in Step 02. Cloud pixels are masked before any spectral analysis to prevent false alarms from cloud shadows being mistaken for land-cover change.</w:t>
      </w:r>
    </w:p>
    <w:p>
      <w:pPr>
        <w:pStyle w:val="Heading3"/>
        <w:spacing w:after="80" w:before="180"/>
      </w:pPr>
      <w:r>
        <w:rPr>
          <w:rFonts w:ascii="Arial" w:cs="Arial" w:eastAsia="Arial" w:hAnsi="Arial"/>
          <w:b/>
          <w:bCs/>
          <w:color w:val="1F4E79"/>
          <w:sz w:val="24"/>
          <w:szCs w:val="24"/>
        </w:rPr>
        <w:t xml:space="preserve">Dataset description</w:t>
      </w:r>
    </w:p>
    <w:p>
      <w:pPr>
        <w:pStyle w:val="ListParagraph"/>
        <w:numPr>
          <w:ilvl w:val="0"/>
          <w:numId w:val="2"/>
        </w:numPr>
        <w:spacing w:after="40" w:before="40"/>
      </w:pPr>
      <w:r>
        <w:rPr>
          <w:rFonts w:ascii="Arial" w:cs="Arial" w:eastAsia="Arial" w:hAnsi="Arial"/>
          <w:b/>
          <w:bCs/>
          <w:sz w:val="22"/>
          <w:szCs w:val="22"/>
        </w:rPr>
        <w:t xml:space="preserve">Name:</w:t>
      </w:r>
      <w:r>
        <w:rPr>
          <w:rFonts w:ascii="Arial" w:cs="Arial" w:eastAsia="Arial" w:hAnsi="Arial"/>
          <w:sz w:val="22"/>
          <w:szCs w:val="22"/>
        </w:rPr>
        <w:t xml:space="preserve"> 38-Cloud: A Cloud Segmentation Dataset (Mohajerani &amp; Saeedi, 2019)</w:t>
      </w:r>
    </w:p>
    <w:p>
      <w:pPr>
        <w:pStyle w:val="ListParagraph"/>
        <w:numPr>
          <w:ilvl w:val="0"/>
          <w:numId w:val="2"/>
        </w:numPr>
        <w:spacing w:after="40" w:before="40"/>
      </w:pPr>
      <w:r>
        <w:rPr>
          <w:rFonts w:ascii="Arial" w:cs="Arial" w:eastAsia="Arial" w:hAnsi="Arial"/>
          <w:b/>
          <w:bCs/>
          <w:sz w:val="22"/>
          <w:szCs w:val="22"/>
        </w:rPr>
        <w:t xml:space="preserve">Sensor:</w:t>
      </w:r>
      <w:r>
        <w:rPr>
          <w:rFonts w:ascii="Arial" w:cs="Arial" w:eastAsia="Arial" w:hAnsi="Arial"/>
          <w:sz w:val="22"/>
          <w:szCs w:val="22"/>
        </w:rPr>
        <w:t xml:space="preserve"> Landsat 8 OLI and Sentinel-2 MSI</w:t>
      </w:r>
    </w:p>
    <w:p>
      <w:pPr>
        <w:pStyle w:val="ListParagraph"/>
        <w:numPr>
          <w:ilvl w:val="0"/>
          <w:numId w:val="2"/>
        </w:numPr>
        <w:spacing w:after="40" w:before="40"/>
      </w:pPr>
      <w:r>
        <w:rPr>
          <w:rFonts w:ascii="Arial" w:cs="Arial" w:eastAsia="Arial" w:hAnsi="Arial"/>
          <w:b/>
          <w:bCs/>
          <w:sz w:val="22"/>
          <w:szCs w:val="22"/>
        </w:rPr>
        <w:t xml:space="preserve">Scale:</w:t>
      </w:r>
      <w:r>
        <w:rPr>
          <w:rFonts w:ascii="Arial" w:cs="Arial" w:eastAsia="Arial" w:hAnsi="Arial"/>
          <w:sz w:val="22"/>
          <w:szCs w:val="22"/>
        </w:rPr>
        <w:t xml:space="preserve"> 38 Landsat 8 scenes plus broader Sentinel-2 training imagery sourced from cloud-free and cloud-contaminated scenes across multiple biomes</w:t>
      </w:r>
    </w:p>
    <w:p>
      <w:pPr>
        <w:pStyle w:val="ListParagraph"/>
        <w:numPr>
          <w:ilvl w:val="0"/>
          <w:numId w:val="2"/>
        </w:numPr>
        <w:spacing w:after="40" w:before="40"/>
      </w:pPr>
      <w:r>
        <w:rPr>
          <w:rFonts w:ascii="Arial" w:cs="Arial" w:eastAsia="Arial" w:hAnsi="Arial"/>
          <w:b/>
          <w:bCs/>
          <w:sz w:val="22"/>
          <w:szCs w:val="22"/>
        </w:rPr>
        <w:t xml:space="preserve">Labels:</w:t>
      </w:r>
      <w:r>
        <w:rPr>
          <w:rFonts w:ascii="Arial" w:cs="Arial" w:eastAsia="Arial" w:hAnsi="Arial"/>
          <w:sz w:val="22"/>
          <w:szCs w:val="22"/>
        </w:rPr>
        <w:t xml:space="preserve"> Pixel-wise binary cloud / no-cloud masks</w:t>
      </w:r>
    </w:p>
    <w:p>
      <w:pPr>
        <w:pStyle w:val="ListParagraph"/>
        <w:numPr>
          <w:ilvl w:val="0"/>
          <w:numId w:val="2"/>
        </w:numPr>
        <w:spacing w:after="40" w:before="40"/>
      </w:pPr>
      <w:r>
        <w:rPr>
          <w:rFonts w:ascii="Arial" w:cs="Arial" w:eastAsia="Arial" w:hAnsi="Arial"/>
          <w:b/>
          <w:bCs/>
          <w:sz w:val="22"/>
          <w:szCs w:val="22"/>
        </w:rPr>
        <w:t xml:space="preserve">Access:</w:t>
      </w:r>
      <w:r>
        <w:rPr>
          <w:rFonts w:ascii="Arial" w:cs="Arial" w:eastAsia="Arial" w:hAnsi="Arial"/>
          <w:sz w:val="22"/>
          <w:szCs w:val="22"/>
        </w:rPr>
        <w:t xml:space="preserve"> Publicly available at https://github.com/SorourMo/38-Cloud-A-Cloud-Segmentation-Dataset</w:t>
      </w:r>
    </w:p>
    <w:p>
      <w:pPr>
        <w:pStyle w:val="Heading3"/>
        <w:spacing w:after="80" w:before="180"/>
      </w:pPr>
      <w:r>
        <w:rPr>
          <w:rFonts w:ascii="Arial" w:cs="Arial" w:eastAsia="Arial" w:hAnsi="Arial"/>
          <w:b/>
          <w:bCs/>
          <w:color w:val="1F4E79"/>
          <w:sz w:val="24"/>
          <w:szCs w:val="24"/>
        </w:rPr>
        <w:t xml:space="preserve">Role in KEMET1</w:t>
      </w:r>
    </w:p>
    <w:p>
      <w:pPr>
        <w:spacing w:after="60" w:before="60"/>
        <w:jc w:val="both"/>
      </w:pPr>
      <w:r>
        <w:rPr>
          <w:rFonts w:ascii="Arial" w:cs="Arial" w:eastAsia="Arial" w:hAnsi="Arial"/>
          <w:sz w:val="22"/>
          <w:szCs w:val="22"/>
        </w:rPr>
        <w:t xml:space="preserve">The pre-trained U-Net weights are loaded by Step 02 at runtime. If weights are absent, the step is skipped and all pixels are treated as cloud-free (acceptable for the precomputed index tiles in the KEMET1 BeforeAfter dataset, which were already composited to minimise cloud cover).</w:t>
      </w:r>
    </w:p>
    <w:p>
      <w:pPr>
        <w:spacing w:after="0" w:before="120"/>
      </w:pPr>
      <w:r>
        <w:t xml:space="preserve"/>
      </w:r>
    </w:p>
    <w:p>
      <w:pPr>
        <w:pStyle w:val="Heading2"/>
        <w:spacing w:after="100" w:before="240"/>
      </w:pPr>
      <w:r>
        <w:rPr>
          <w:rFonts w:ascii="Arial" w:cs="Arial" w:eastAsia="Arial" w:hAnsi="Arial"/>
          <w:b/>
          <w:bCs/>
          <w:color w:val="2E75B6"/>
          <w:sz w:val="28"/>
          <w:szCs w:val="28"/>
        </w:rPr>
        <w:t xml:space="preserve">3.2 LEVIR-CD — Change Detection (Step 05)</w:t>
      </w:r>
    </w:p>
    <w:p>
      <w:pPr>
        <w:pStyle w:val="Heading3"/>
        <w:spacing w:after="80" w:before="180"/>
      </w:pPr>
      <w:r>
        <w:rPr>
          <w:rFonts w:ascii="Arial" w:cs="Arial" w:eastAsia="Arial" w:hAnsi="Arial"/>
          <w:b/>
          <w:bCs/>
          <w:color w:val="1F4E79"/>
          <w:sz w:val="24"/>
          <w:szCs w:val="24"/>
        </w:rPr>
        <w:t xml:space="preserve">Purpose</w:t>
      </w:r>
    </w:p>
    <w:p>
      <w:pPr>
        <w:spacing w:after="60" w:before="60"/>
        <w:jc w:val="both"/>
      </w:pPr>
      <w:r>
        <w:rPr>
          <w:rFonts w:ascii="Arial" w:cs="Arial" w:eastAsia="Arial" w:hAnsi="Arial"/>
          <w:sz w:val="22"/>
          <w:szCs w:val="22"/>
        </w:rPr>
        <w:t xml:space="preserve">Provides weights for the ChangeFormer transformer used in Step 05 to produce a binary change map between T1 and T2.</w:t>
      </w:r>
    </w:p>
    <w:p>
      <w:pPr>
        <w:pStyle w:val="Heading3"/>
        <w:spacing w:after="80" w:before="180"/>
      </w:pPr>
      <w:r>
        <w:rPr>
          <w:rFonts w:ascii="Arial" w:cs="Arial" w:eastAsia="Arial" w:hAnsi="Arial"/>
          <w:b/>
          <w:bCs/>
          <w:color w:val="1F4E79"/>
          <w:sz w:val="24"/>
          <w:szCs w:val="24"/>
        </w:rPr>
        <w:t xml:space="preserve">Dataset description</w:t>
      </w:r>
    </w:p>
    <w:p>
      <w:pPr>
        <w:pStyle w:val="ListParagraph"/>
        <w:numPr>
          <w:ilvl w:val="0"/>
          <w:numId w:val="2"/>
        </w:numPr>
        <w:spacing w:after="40" w:before="40"/>
      </w:pPr>
      <w:r>
        <w:rPr>
          <w:rFonts w:ascii="Arial" w:cs="Arial" w:eastAsia="Arial" w:hAnsi="Arial"/>
          <w:b/>
          <w:bCs/>
          <w:sz w:val="22"/>
          <w:szCs w:val="22"/>
        </w:rPr>
        <w:t xml:space="preserve">Name:</w:t>
      </w:r>
      <w:r>
        <w:rPr>
          <w:rFonts w:ascii="Arial" w:cs="Arial" w:eastAsia="Arial" w:hAnsi="Arial"/>
          <w:sz w:val="22"/>
          <w:szCs w:val="22"/>
        </w:rPr>
        <w:t xml:space="preserve"> LEVIR-CD: Building Change Detection Dataset (Chen et al., 2021)</w:t>
      </w:r>
    </w:p>
    <w:p>
      <w:pPr>
        <w:pStyle w:val="ListParagraph"/>
        <w:numPr>
          <w:ilvl w:val="0"/>
          <w:numId w:val="2"/>
        </w:numPr>
        <w:spacing w:after="40" w:before="40"/>
      </w:pPr>
      <w:r>
        <w:rPr>
          <w:rFonts w:ascii="Arial" w:cs="Arial" w:eastAsia="Arial" w:hAnsi="Arial"/>
          <w:b/>
          <w:bCs/>
          <w:sz w:val="22"/>
          <w:szCs w:val="22"/>
        </w:rPr>
        <w:t xml:space="preserve">Sensor:</w:t>
      </w:r>
      <w:r>
        <w:rPr>
          <w:rFonts w:ascii="Arial" w:cs="Arial" w:eastAsia="Arial" w:hAnsi="Arial"/>
          <w:sz w:val="22"/>
          <w:szCs w:val="22"/>
        </w:rPr>
        <w:t xml:space="preserve"> Google Earth high-resolution RGB imagery (0.5 m/pixel), covering 20 cities in Texas, USA</w:t>
      </w:r>
    </w:p>
    <w:p>
      <w:pPr>
        <w:pStyle w:val="ListParagraph"/>
        <w:numPr>
          <w:ilvl w:val="0"/>
          <w:numId w:val="2"/>
        </w:numPr>
        <w:spacing w:after="40" w:before="40"/>
      </w:pPr>
      <w:r>
        <w:rPr>
          <w:rFonts w:ascii="Arial" w:cs="Arial" w:eastAsia="Arial" w:hAnsi="Arial"/>
          <w:b/>
          <w:bCs/>
          <w:sz w:val="22"/>
          <w:szCs w:val="22"/>
        </w:rPr>
        <w:t xml:space="preserve">Scale:</w:t>
      </w:r>
      <w:r>
        <w:rPr>
          <w:rFonts w:ascii="Arial" w:cs="Arial" w:eastAsia="Arial" w:hAnsi="Arial"/>
          <w:sz w:val="22"/>
          <w:szCs w:val="22"/>
        </w:rPr>
        <w:t xml:space="preserve"> 637 image pairs of 1024×1024 pixels, cropped into 7,120 non-overlapping 256×256 patches for training</w:t>
      </w:r>
    </w:p>
    <w:p>
      <w:pPr>
        <w:pStyle w:val="ListParagraph"/>
        <w:numPr>
          <w:ilvl w:val="0"/>
          <w:numId w:val="2"/>
        </w:numPr>
        <w:spacing w:after="40" w:before="40"/>
      </w:pPr>
      <w:r>
        <w:rPr>
          <w:rFonts w:ascii="Arial" w:cs="Arial" w:eastAsia="Arial" w:hAnsi="Arial"/>
          <w:b/>
          <w:bCs/>
          <w:sz w:val="22"/>
          <w:szCs w:val="22"/>
        </w:rPr>
        <w:t xml:space="preserve">Labels:</w:t>
      </w:r>
      <w:r>
        <w:rPr>
          <w:rFonts w:ascii="Arial" w:cs="Arial" w:eastAsia="Arial" w:hAnsi="Arial"/>
          <w:sz w:val="22"/>
          <w:szCs w:val="22"/>
        </w:rPr>
        <w:t xml:space="preserve"> Pixel-wise binary change / no-change masks focused on building appearance and demolition</w:t>
      </w:r>
    </w:p>
    <w:p>
      <w:pPr>
        <w:pStyle w:val="ListParagraph"/>
        <w:numPr>
          <w:ilvl w:val="0"/>
          <w:numId w:val="2"/>
        </w:numPr>
        <w:spacing w:after="40" w:before="40"/>
      </w:pPr>
      <w:r>
        <w:rPr>
          <w:rFonts w:ascii="Arial" w:cs="Arial" w:eastAsia="Arial" w:hAnsi="Arial"/>
          <w:b/>
          <w:bCs/>
          <w:sz w:val="22"/>
          <w:szCs w:val="22"/>
        </w:rPr>
        <w:t xml:space="preserve">Access:</w:t>
      </w:r>
      <w:r>
        <w:rPr>
          <w:rFonts w:ascii="Arial" w:cs="Arial" w:eastAsia="Arial" w:hAnsi="Arial"/>
          <w:sz w:val="22"/>
          <w:szCs w:val="22"/>
        </w:rPr>
        <w:t xml:space="preserve"> https://justchenhao.github.io/LEVIR/</w:t>
      </w:r>
    </w:p>
    <w:p>
      <w:pPr>
        <w:pStyle w:val="Heading3"/>
        <w:spacing w:after="80" w:before="180"/>
      </w:pPr>
      <w:r>
        <w:rPr>
          <w:rFonts w:ascii="Arial" w:cs="Arial" w:eastAsia="Arial" w:hAnsi="Arial"/>
          <w:b/>
          <w:bCs/>
          <w:color w:val="1F4E79"/>
          <w:sz w:val="24"/>
          <w:szCs w:val="24"/>
        </w:rPr>
        <w:t xml:space="preserve">Role in KEMET1</w:t>
      </w:r>
    </w:p>
    <w:p>
      <w:pPr>
        <w:spacing w:after="60" w:before="60"/>
        <w:jc w:val="both"/>
      </w:pPr>
      <w:r>
        <w:rPr>
          <w:rFonts w:ascii="Arial" w:cs="Arial" w:eastAsia="Arial" w:hAnsi="Arial"/>
          <w:sz w:val="22"/>
          <w:szCs w:val="22"/>
        </w:rPr>
        <w:t xml:space="preserve">ChangeFormer (Bandara &amp; Patel, 2022) was pre-trained on LEVIR-CD to detect building-level change. KEMET1 uses these weights directly for change map generation. When the weights file (ChangeFormer_LEVIR.pth) is absent, Step 05 falls back to a mean absolute difference rule across all 6 spectral index bands with a 0.5 threshold.</w:t>
      </w:r>
    </w:p>
    <w:p>
      <w:pPr>
        <w:spacing w:after="0" w:before="120"/>
      </w:pPr>
      <w:r>
        <w:t xml:space="preserve"/>
      </w:r>
    </w:p>
    <w:p>
      <w:pPr>
        <w:pStyle w:val="Heading2"/>
        <w:spacing w:after="100" w:before="240"/>
      </w:pPr>
      <w:r>
        <w:rPr>
          <w:rFonts w:ascii="Arial" w:cs="Arial" w:eastAsia="Arial" w:hAnsi="Arial"/>
          <w:b/>
          <w:bCs/>
          <w:color w:val="2E75B6"/>
          <w:sz w:val="28"/>
          <w:szCs w:val="28"/>
        </w:rPr>
        <w:t xml:space="preserve">3.3 ADE20K — Agriculture Segmentation (Step 06)</w:t>
      </w:r>
    </w:p>
    <w:p>
      <w:pPr>
        <w:pStyle w:val="Heading3"/>
        <w:spacing w:after="80" w:before="180"/>
      </w:pPr>
      <w:r>
        <w:rPr>
          <w:rFonts w:ascii="Arial" w:cs="Arial" w:eastAsia="Arial" w:hAnsi="Arial"/>
          <w:b/>
          <w:bCs/>
          <w:color w:val="1F4E79"/>
          <w:sz w:val="24"/>
          <w:szCs w:val="24"/>
        </w:rPr>
        <w:t xml:space="preserve">Purpose</w:t>
      </w:r>
    </w:p>
    <w:p>
      <w:pPr>
        <w:spacing w:after="60" w:before="60"/>
        <w:jc w:val="both"/>
      </w:pPr>
      <w:r>
        <w:rPr>
          <w:rFonts w:ascii="Arial" w:cs="Arial" w:eastAsia="Arial" w:hAnsi="Arial"/>
          <w:sz w:val="22"/>
          <w:szCs w:val="22"/>
        </w:rPr>
        <w:t xml:space="preserve">Provides weights for the SegFormer semantic segmentation model used in Step 06 to identify which pixels were agricultural land in the T1 image. Only changed pixels that were previously farmland are flagged as encroachment.</w:t>
      </w:r>
    </w:p>
    <w:p>
      <w:pPr>
        <w:pStyle w:val="Heading3"/>
        <w:spacing w:after="80" w:before="180"/>
      </w:pPr>
      <w:r>
        <w:rPr>
          <w:rFonts w:ascii="Arial" w:cs="Arial" w:eastAsia="Arial" w:hAnsi="Arial"/>
          <w:b/>
          <w:bCs/>
          <w:color w:val="1F4E79"/>
          <w:sz w:val="24"/>
          <w:szCs w:val="24"/>
        </w:rPr>
        <w:t xml:space="preserve">Dataset description</w:t>
      </w:r>
    </w:p>
    <w:p>
      <w:pPr>
        <w:pStyle w:val="ListParagraph"/>
        <w:numPr>
          <w:ilvl w:val="0"/>
          <w:numId w:val="2"/>
        </w:numPr>
        <w:spacing w:after="40" w:before="40"/>
      </w:pPr>
      <w:r>
        <w:rPr>
          <w:rFonts w:ascii="Arial" w:cs="Arial" w:eastAsia="Arial" w:hAnsi="Arial"/>
          <w:b/>
          <w:bCs/>
          <w:sz w:val="22"/>
          <w:szCs w:val="22"/>
        </w:rPr>
        <w:t xml:space="preserve">Name:</w:t>
      </w:r>
      <w:r>
        <w:rPr>
          <w:rFonts w:ascii="Arial" w:cs="Arial" w:eastAsia="Arial" w:hAnsi="Arial"/>
          <w:sz w:val="22"/>
          <w:szCs w:val="22"/>
        </w:rPr>
        <w:t xml:space="preserve"> MIT ADE20K Scene Understanding Dataset (Zhou et al., 2017)</w:t>
      </w:r>
    </w:p>
    <w:p>
      <w:pPr>
        <w:pStyle w:val="ListParagraph"/>
        <w:numPr>
          <w:ilvl w:val="0"/>
          <w:numId w:val="2"/>
        </w:numPr>
        <w:spacing w:after="40" w:before="40"/>
      </w:pPr>
      <w:r>
        <w:rPr>
          <w:rFonts w:ascii="Arial" w:cs="Arial" w:eastAsia="Arial" w:hAnsi="Arial"/>
          <w:b/>
          <w:bCs/>
          <w:sz w:val="22"/>
          <w:szCs w:val="22"/>
        </w:rPr>
        <w:t xml:space="preserve">Sensor:</w:t>
      </w:r>
      <w:r>
        <w:rPr>
          <w:rFonts w:ascii="Arial" w:cs="Arial" w:eastAsia="Arial" w:hAnsi="Arial"/>
          <w:sz w:val="22"/>
          <w:szCs w:val="22"/>
        </w:rPr>
        <w:t xml:space="preserve"> Diverse web-crawled RGB photographs (not satellite imagery)</w:t>
      </w:r>
    </w:p>
    <w:p>
      <w:pPr>
        <w:pStyle w:val="ListParagraph"/>
        <w:numPr>
          <w:ilvl w:val="0"/>
          <w:numId w:val="2"/>
        </w:numPr>
        <w:spacing w:after="40" w:before="40"/>
      </w:pPr>
      <w:r>
        <w:rPr>
          <w:rFonts w:ascii="Arial" w:cs="Arial" w:eastAsia="Arial" w:hAnsi="Arial"/>
          <w:b/>
          <w:bCs/>
          <w:sz w:val="22"/>
          <w:szCs w:val="22"/>
        </w:rPr>
        <w:t xml:space="preserve">Scale:</w:t>
      </w:r>
      <w:r>
        <w:rPr>
          <w:rFonts w:ascii="Arial" w:cs="Arial" w:eastAsia="Arial" w:hAnsi="Arial"/>
          <w:sz w:val="22"/>
          <w:szCs w:val="22"/>
        </w:rPr>
        <w:t xml:space="preserve"> 25,574 training images, 2,000 validation images covering 150 semantic categories including field/farmland, vegetation, soil, water, building, and road classes</w:t>
      </w:r>
    </w:p>
    <w:p>
      <w:pPr>
        <w:pStyle w:val="ListParagraph"/>
        <w:numPr>
          <w:ilvl w:val="0"/>
          <w:numId w:val="2"/>
        </w:numPr>
        <w:spacing w:after="40" w:before="40"/>
      </w:pPr>
      <w:r>
        <w:rPr>
          <w:rFonts w:ascii="Arial" w:cs="Arial" w:eastAsia="Arial" w:hAnsi="Arial"/>
          <w:b/>
          <w:bCs/>
          <w:sz w:val="22"/>
          <w:szCs w:val="22"/>
        </w:rPr>
        <w:t xml:space="preserve">Labels:</w:t>
      </w:r>
      <w:r>
        <w:rPr>
          <w:rFonts w:ascii="Arial" w:cs="Arial" w:eastAsia="Arial" w:hAnsi="Arial"/>
          <w:sz w:val="22"/>
          <w:szCs w:val="22"/>
        </w:rPr>
        <w:t xml:space="preserve"> Pixel-wise semantic segmentation masks</w:t>
      </w:r>
    </w:p>
    <w:p>
      <w:pPr>
        <w:pStyle w:val="ListParagraph"/>
        <w:numPr>
          <w:ilvl w:val="0"/>
          <w:numId w:val="2"/>
        </w:numPr>
        <w:spacing w:after="40" w:before="40"/>
      </w:pPr>
      <w:r>
        <w:rPr>
          <w:rFonts w:ascii="Arial" w:cs="Arial" w:eastAsia="Arial" w:hAnsi="Arial"/>
          <w:b/>
          <w:bCs/>
          <w:sz w:val="22"/>
          <w:szCs w:val="22"/>
        </w:rPr>
        <w:t xml:space="preserve">Access:</w:t>
      </w:r>
      <w:r>
        <w:rPr>
          <w:rFonts w:ascii="Arial" w:cs="Arial" w:eastAsia="Arial" w:hAnsi="Arial"/>
          <w:sz w:val="22"/>
          <w:szCs w:val="22"/>
        </w:rPr>
        <w:t xml:space="preserve"> https://groups.csail.mit.edu/vision/datasets/ADE20K/</w:t>
      </w:r>
    </w:p>
    <w:p>
      <w:pPr>
        <w:pStyle w:val="Heading3"/>
        <w:spacing w:after="80" w:before="180"/>
      </w:pPr>
      <w:r>
        <w:rPr>
          <w:rFonts w:ascii="Arial" w:cs="Arial" w:eastAsia="Arial" w:hAnsi="Arial"/>
          <w:b/>
          <w:bCs/>
          <w:color w:val="1F4E79"/>
          <w:sz w:val="24"/>
          <w:szCs w:val="24"/>
        </w:rPr>
        <w:t xml:space="preserve">Role in KEMET1</w:t>
      </w:r>
    </w:p>
    <w:p>
      <w:pPr>
        <w:spacing w:after="60" w:before="60"/>
        <w:jc w:val="both"/>
      </w:pPr>
      <w:r>
        <w:rPr>
          <w:rFonts w:ascii="Arial" w:cs="Arial" w:eastAsia="Arial" w:hAnsi="Arial"/>
          <w:sz w:val="22"/>
          <w:szCs w:val="22"/>
        </w:rPr>
        <w:t xml:space="preserve">SegFormer-B4 fine-tuned on ADE20K (nvidia/segformer-b4-finetuned-ade-512-512, distributed via HuggingFace) produces per-pixel class probabilities. KEMET1 combines the “field/farmland” and “vegetation” classes to build an agricultural mask. When the model is unavailable, Step 06 falls back to NDVI &gt; 0.2 thresholding on Band 0 of the precomputed index tile.</w:t>
      </w:r>
    </w:p>
    <w:p>
      <w:pPr>
        <w:spacing w:after="0" w:before="120"/>
      </w:pPr>
      <w:r>
        <w:t xml:space="preserve"/>
      </w:r>
    </w:p>
    <w:p>
      <w:pPr>
        <w:pStyle w:val="Heading2"/>
        <w:spacing w:after="100" w:before="240"/>
      </w:pPr>
      <w:r>
        <w:rPr>
          <w:rFonts w:ascii="Arial" w:cs="Arial" w:eastAsia="Arial" w:hAnsi="Arial"/>
          <w:b/>
          <w:bCs/>
          <w:color w:val="2E75B6"/>
          <w:sz w:val="28"/>
          <w:szCs w:val="28"/>
        </w:rPr>
        <w:t xml:space="preserve">3.4 MS-COCO — Building Detection (Step 07)</w:t>
      </w:r>
    </w:p>
    <w:p>
      <w:pPr>
        <w:pStyle w:val="Heading3"/>
        <w:spacing w:after="80" w:before="180"/>
      </w:pPr>
      <w:r>
        <w:rPr>
          <w:rFonts w:ascii="Arial" w:cs="Arial" w:eastAsia="Arial" w:hAnsi="Arial"/>
          <w:b/>
          <w:bCs/>
          <w:color w:val="1F4E79"/>
          <w:sz w:val="24"/>
          <w:szCs w:val="24"/>
        </w:rPr>
        <w:t xml:space="preserve">Purpose</w:t>
      </w:r>
    </w:p>
    <w:p>
      <w:pPr>
        <w:spacing w:after="60" w:before="60"/>
        <w:jc w:val="both"/>
      </w:pPr>
      <w:r>
        <w:rPr>
          <w:rFonts w:ascii="Arial" w:cs="Arial" w:eastAsia="Arial" w:hAnsi="Arial"/>
          <w:sz w:val="22"/>
          <w:szCs w:val="22"/>
        </w:rPr>
        <w:t xml:space="preserve">Provides weights for the YOLOv8-seg instance segmentation model used in Step 07 to detect individual building footprints within the changed agricultural area.</w:t>
      </w:r>
    </w:p>
    <w:p>
      <w:pPr>
        <w:pStyle w:val="Heading3"/>
        <w:spacing w:after="80" w:before="180"/>
      </w:pPr>
      <w:r>
        <w:rPr>
          <w:rFonts w:ascii="Arial" w:cs="Arial" w:eastAsia="Arial" w:hAnsi="Arial"/>
          <w:b/>
          <w:bCs/>
          <w:color w:val="1F4E79"/>
          <w:sz w:val="24"/>
          <w:szCs w:val="24"/>
        </w:rPr>
        <w:t xml:space="preserve">Dataset description</w:t>
      </w:r>
    </w:p>
    <w:p>
      <w:pPr>
        <w:pStyle w:val="ListParagraph"/>
        <w:numPr>
          <w:ilvl w:val="0"/>
          <w:numId w:val="2"/>
        </w:numPr>
        <w:spacing w:after="40" w:before="40"/>
      </w:pPr>
      <w:r>
        <w:rPr>
          <w:rFonts w:ascii="Arial" w:cs="Arial" w:eastAsia="Arial" w:hAnsi="Arial"/>
          <w:b/>
          <w:bCs/>
          <w:sz w:val="22"/>
          <w:szCs w:val="22"/>
        </w:rPr>
        <w:t xml:space="preserve">Name:</w:t>
      </w:r>
      <w:r>
        <w:rPr>
          <w:rFonts w:ascii="Arial" w:cs="Arial" w:eastAsia="Arial" w:hAnsi="Arial"/>
          <w:sz w:val="22"/>
          <w:szCs w:val="22"/>
        </w:rPr>
        <w:t xml:space="preserve"> Microsoft Common Objects in Context (Lin et al., 2014)</w:t>
      </w:r>
    </w:p>
    <w:p>
      <w:pPr>
        <w:pStyle w:val="ListParagraph"/>
        <w:numPr>
          <w:ilvl w:val="0"/>
          <w:numId w:val="2"/>
        </w:numPr>
        <w:spacing w:after="40" w:before="40"/>
      </w:pPr>
      <w:r>
        <w:rPr>
          <w:rFonts w:ascii="Arial" w:cs="Arial" w:eastAsia="Arial" w:hAnsi="Arial"/>
          <w:b/>
          <w:bCs/>
          <w:sz w:val="22"/>
          <w:szCs w:val="22"/>
        </w:rPr>
        <w:t xml:space="preserve">Sensor:</w:t>
      </w:r>
      <w:r>
        <w:rPr>
          <w:rFonts w:ascii="Arial" w:cs="Arial" w:eastAsia="Arial" w:hAnsi="Arial"/>
          <w:sz w:val="22"/>
          <w:szCs w:val="22"/>
        </w:rPr>
        <w:t xml:space="preserve"> Diverse web-crawled RGB photographs</w:t>
      </w:r>
    </w:p>
    <w:p>
      <w:pPr>
        <w:pStyle w:val="ListParagraph"/>
        <w:numPr>
          <w:ilvl w:val="0"/>
          <w:numId w:val="2"/>
        </w:numPr>
        <w:spacing w:after="40" w:before="40"/>
      </w:pPr>
      <w:r>
        <w:rPr>
          <w:rFonts w:ascii="Arial" w:cs="Arial" w:eastAsia="Arial" w:hAnsi="Arial"/>
          <w:b/>
          <w:bCs/>
          <w:sz w:val="22"/>
          <w:szCs w:val="22"/>
        </w:rPr>
        <w:t xml:space="preserve">Scale:</w:t>
      </w:r>
      <w:r>
        <w:rPr>
          <w:rFonts w:ascii="Arial" w:cs="Arial" w:eastAsia="Arial" w:hAnsi="Arial"/>
          <w:sz w:val="22"/>
          <w:szCs w:val="22"/>
        </w:rPr>
        <w:t xml:space="preserve"> 330,000+ images, 1.5 million object instances, 80 categories including building, vehicle, and infrastructure classes</w:t>
      </w:r>
    </w:p>
    <w:p>
      <w:pPr>
        <w:pStyle w:val="ListParagraph"/>
        <w:numPr>
          <w:ilvl w:val="0"/>
          <w:numId w:val="2"/>
        </w:numPr>
        <w:spacing w:after="40" w:before="40"/>
      </w:pPr>
      <w:r>
        <w:rPr>
          <w:rFonts w:ascii="Arial" w:cs="Arial" w:eastAsia="Arial" w:hAnsi="Arial"/>
          <w:b/>
          <w:bCs/>
          <w:sz w:val="22"/>
          <w:szCs w:val="22"/>
        </w:rPr>
        <w:t xml:space="preserve">Labels:</w:t>
      </w:r>
      <w:r>
        <w:rPr>
          <w:rFonts w:ascii="Arial" w:cs="Arial" w:eastAsia="Arial" w:hAnsi="Arial"/>
          <w:sz w:val="22"/>
          <w:szCs w:val="22"/>
        </w:rPr>
        <w:t xml:space="preserve"> Bounding boxes and instance segmentation masks</w:t>
      </w:r>
    </w:p>
    <w:p>
      <w:pPr>
        <w:pStyle w:val="ListParagraph"/>
        <w:numPr>
          <w:ilvl w:val="0"/>
          <w:numId w:val="2"/>
        </w:numPr>
        <w:spacing w:after="40" w:before="40"/>
      </w:pPr>
      <w:r>
        <w:rPr>
          <w:rFonts w:ascii="Arial" w:cs="Arial" w:eastAsia="Arial" w:hAnsi="Arial"/>
          <w:b/>
          <w:bCs/>
          <w:sz w:val="22"/>
          <w:szCs w:val="22"/>
        </w:rPr>
        <w:t xml:space="preserve">Access:</w:t>
      </w:r>
      <w:r>
        <w:rPr>
          <w:rFonts w:ascii="Arial" w:cs="Arial" w:eastAsia="Arial" w:hAnsi="Arial"/>
          <w:sz w:val="22"/>
          <w:szCs w:val="22"/>
        </w:rPr>
        <w:t xml:space="preserve"> https://cocodataset.org/</w:t>
      </w:r>
    </w:p>
    <w:p>
      <w:pPr>
        <w:pStyle w:val="Heading3"/>
        <w:spacing w:after="80" w:before="180"/>
      </w:pPr>
      <w:r>
        <w:rPr>
          <w:rFonts w:ascii="Arial" w:cs="Arial" w:eastAsia="Arial" w:hAnsi="Arial"/>
          <w:b/>
          <w:bCs/>
          <w:color w:val="1F4E79"/>
          <w:sz w:val="24"/>
          <w:szCs w:val="24"/>
        </w:rPr>
        <w:t xml:space="preserve">Role in KEMET1</w:t>
      </w:r>
    </w:p>
    <w:p>
      <w:pPr>
        <w:spacing w:after="60" w:before="60"/>
        <w:jc w:val="both"/>
      </w:pPr>
      <w:r>
        <w:rPr>
          <w:rFonts w:ascii="Arial" w:cs="Arial" w:eastAsia="Arial" w:hAnsi="Arial"/>
          <w:sz w:val="22"/>
          <w:szCs w:val="22"/>
        </w:rPr>
        <w:t xml:space="preserve">YOLOv8m-seg pre-trained on MS-COCO (yolov8m-seg.pt, distributed by Ultralytics) detects building contours. Only detections within the intersection of the change map and agricultural mask are retained. When YOLOv8 is unavailable, Step 07 falls back to NDBI_delta &gt; 0.05 morphological detection: pixels where NDBI rose by more than 0.05 between T1 and T2 are treated as new built-up surface, and a 5×5 morphological open/close cleans the mask.</w:t>
      </w:r>
    </w:p>
    <w:p>
      <w:r>
        <w:br w:type="page"/>
      </w:r>
    </w:p>
    <w:p>
      <w:pPr>
        <w:pStyle w:val="Heading1"/>
        <w:pBdr>
          <w:bottom w:val="single" w:color="2E75B6" w:sz="6" w:space="6"/>
        </w:pBdr>
        <w:spacing w:after="160" w:before="320"/>
      </w:pPr>
      <w:r>
        <w:rPr>
          <w:rFonts w:ascii="Arial" w:cs="Arial" w:eastAsia="Arial" w:hAnsi="Arial"/>
          <w:b/>
          <w:bCs/>
          <w:color w:val="1F4E79"/>
          <w:sz w:val="36"/>
          <w:szCs w:val="36"/>
        </w:rPr>
        <w:t xml:space="preserve">4. Data Flow Through the Pipeline</w:t>
      </w:r>
    </w:p>
    <w:p>
      <w:pPr>
        <w:spacing w:after="60" w:before="60"/>
        <w:jc w:val="both"/>
      </w:pPr>
      <w:r>
        <w:rPr>
          <w:rFonts w:ascii="Arial" w:cs="Arial" w:eastAsia="Arial" w:hAnsi="Arial"/>
          <w:sz w:val="22"/>
          <w:szCs w:val="22"/>
        </w:rPr>
        <w:t xml:space="preserve">The KEMET1 BeforeAfter tiles are the sole runtime input. At inference time, a before/after tile pair passes sequentially through Steps 01–08. The pre-trained weights are loaded once at Step initialisation and applied as transformations on the tile data.</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820"/>
      </w:tblGrid>
      <w:tr>
        <w:trPr>
          <w:tblHeader/>
        </w:trPr>
        <w:tc>
          <w:tcPr>
            <w:tcW w:type="dxa" w:w="9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Step</w:t>
            </w:r>
          </w:p>
        </w:tc>
        <w:tc>
          <w:tcPr>
            <w:tcW w:type="dxa" w:w="22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Function</w:t>
            </w:r>
          </w:p>
        </w:tc>
        <w:tc>
          <w:tcPr>
            <w:tcW w:type="dxa" w:w="28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Dataset / weights used</w:t>
            </w:r>
          </w:p>
        </w:tc>
        <w:tc>
          <w:tcPr>
            <w:tcW w:type="dxa" w:w="38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Fallback (no weights)</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01</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Data acquisition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 GeoTIFFs</w:t>
            </w:r>
          </w:p>
        </w:tc>
        <w:tc>
          <w:tcPr>
            <w:tcW w:type="dxa" w:w="38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02</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Cloud detection</w:t>
            </w:r>
          </w:p>
        </w:tc>
        <w:tc>
          <w:tcPr>
            <w:tcW w:type="dxa" w:w="2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38-Cloud U-Net weights</w:t>
            </w:r>
          </w:p>
        </w:tc>
        <w:tc>
          <w:tcPr>
            <w:tcW w:type="dxa" w:w="38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Skip; treat all pixels as cloud-free</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03</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Cloud removal</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N/A (masked by Step 02)</w:t>
            </w:r>
          </w:p>
        </w:tc>
        <w:tc>
          <w:tcPr>
            <w:tcW w:type="dxa" w:w="38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Skip if cloud% &lt; 15%</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04</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Spectral indices</w:t>
            </w:r>
          </w:p>
        </w:tc>
        <w:tc>
          <w:tcPr>
            <w:tcW w:type="dxa" w:w="2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 (precomputed bands)</w:t>
            </w:r>
          </w:p>
        </w:tc>
        <w:tc>
          <w:tcPr>
            <w:tcW w:type="dxa" w:w="38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Read bands directly from GeoTIFF</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05</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 detection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ChangeFormer (LEVIR-CD weights)</w:t>
            </w:r>
          </w:p>
        </w:tc>
        <w:tc>
          <w:tcPr>
            <w:tcW w:type="dxa" w:w="38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absolute difference ≥ 0.5 across 6 bands</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06</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Agriculture mask</w:t>
            </w:r>
          </w:p>
        </w:tc>
        <w:tc>
          <w:tcPr>
            <w:tcW w:type="dxa" w:w="2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SegFormer (ADE20K weights)</w:t>
            </w:r>
          </w:p>
        </w:tc>
        <w:tc>
          <w:tcPr>
            <w:tcW w:type="dxa" w:w="38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NDVI Band 0 ≥ 0.2 threshold</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Building detection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YOLOv8 (COCO weights)</w:t>
            </w:r>
          </w:p>
        </w:tc>
        <w:tc>
          <w:tcPr>
            <w:tcW w:type="dxa" w:w="38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NDBI_delta &gt; 0.05 morphological mask</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w:t>
            </w:r>
          </w:p>
        </w:tc>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Alert output</w:t>
            </w:r>
          </w:p>
        </w:tc>
        <w:tc>
          <w:tcPr>
            <w:tcW w:type="dxa" w:w="2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 (reference)</w:t>
            </w:r>
          </w:p>
        </w:tc>
        <w:tc>
          <w:tcPr>
            <w:tcW w:type="dxa" w:w="38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Always runs; no weights required</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RF</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Tile classification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 — team-trained RF</w:t>
            </w:r>
          </w:p>
        </w:tc>
        <w:tc>
          <w:tcPr>
            <w:tcW w:type="dxa" w:w="38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Always available; RF is the primary model</w:t>
            </w:r>
          </w:p>
        </w:tc>
      </w:tr>
    </w:tbl>
    <w:p>
      <w:pPr>
        <w:spacing w:after="0" w:before="160"/>
      </w:pPr>
      <w:r>
        <w:t xml:space="preserve"/>
      </w:r>
    </w:p>
    <w:p>
      <w:pPr>
        <w:spacing w:after="60" w:before="60"/>
        <w:jc w:val="both"/>
      </w:pPr>
      <w:r>
        <w:rPr>
          <w:rFonts w:ascii="Arial" w:cs="Arial" w:eastAsia="Arial" w:hAnsi="Arial"/>
          <w:sz w:val="22"/>
          <w:szCs w:val="22"/>
        </w:rPr>
        <w:t xml:space="preserve">Note that the RF classifier (encroachment_classifier_rf.pkl) is used as an alternative to the full Step 01–08 pipeline via run_inference.py, not as an additional step within it. The two modes are architecturally distinct: the full pipeline runs spatially (pixel level); the RF runs on 48 tabular tile-level features extracted from the same GeoTIFFs.</w:t>
      </w:r>
    </w:p>
    <w:p>
      <w:r>
        <w:br w:type="page"/>
      </w:r>
    </w:p>
    <w:p>
      <w:pPr>
        <w:pStyle w:val="Heading1"/>
        <w:pBdr>
          <w:bottom w:val="single" w:color="2E75B6" w:sz="6" w:space="6"/>
        </w:pBdr>
        <w:spacing w:after="160" w:before="320"/>
      </w:pPr>
      <w:r>
        <w:rPr>
          <w:rFonts w:ascii="Arial" w:cs="Arial" w:eastAsia="Arial" w:hAnsi="Arial"/>
          <w:b/>
          <w:bCs/>
          <w:color w:val="1F4E79"/>
          <w:sz w:val="36"/>
          <w:szCs w:val="36"/>
        </w:rPr>
        <w:t xml:space="preserve">5. Dataset Provenance and Licences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560"/>
      </w:tblGrid>
      <w:tr>
        <w:trPr>
          <w:tblHeader/>
        </w:trPr>
        <w:tc>
          <w:tcPr>
            <w:tcW w:type="dxa" w:w="22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Dataset</w:t>
            </w:r>
          </w:p>
        </w:tc>
        <w:tc>
          <w:tcPr>
            <w:tcW w:type="dxa" w:w="24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Licence</w:t>
            </w:r>
          </w:p>
        </w:tc>
        <w:tc>
          <w:tcPr>
            <w:tcW w:type="dxa" w:w="25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Citation</w:t>
            </w:r>
          </w:p>
        </w:tc>
        <w:tc>
          <w:tcPr>
            <w:tcW w:type="dxa" w:w="25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Team contribution</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KEMET1 BeforeAfter</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Internal / GP project</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This document</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Collected, labelled, split, feature-engineered, trained RF</w:t>
            </w:r>
          </w:p>
        </w:tc>
      </w:tr>
      <w:tr>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38-Cloud</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MIT</w:t>
            </w:r>
          </w:p>
        </w:tc>
        <w:tc>
          <w:tcPr>
            <w:tcW w:type="dxa" w:w="25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Mohajerani &amp; Saeedi (2019)</w:t>
            </w:r>
          </w:p>
        </w:tc>
        <w:tc>
          <w:tcPr>
            <w:tcW w:type="dxa" w:w="25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Integrated pre-trained weights; wrote fallback</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LEVIR-CD</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CC BY 4.0</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Chen et al. (2021)</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Integrated ChangeFormer weights; wrote fallback</w:t>
            </w:r>
          </w:p>
        </w:tc>
      </w:tr>
      <w:tr>
        <w:tc>
          <w:tcPr>
            <w:tcW w:type="dxa" w:w="22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ADE20K</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BSD 3-Clause</w:t>
            </w:r>
          </w:p>
        </w:tc>
        <w:tc>
          <w:tcPr>
            <w:tcW w:type="dxa" w:w="25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Zhou et al. (2017)</w:t>
            </w:r>
          </w:p>
        </w:tc>
        <w:tc>
          <w:tcPr>
            <w:tcW w:type="dxa" w:w="25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Integrated SegFormer weights; wrote fallback</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MS-COCO</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CC BY 4.0</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Lin et al. (2014)</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Integrated YOLOv8 weights; wrote NDBI fallback</w:t>
            </w:r>
          </w:p>
        </w:tc>
      </w:tr>
    </w:tbl>
    <w:p>
      <w:pPr>
        <w:spacing w:after="0" w:before="200"/>
      </w:pPr>
      <w:r>
        <w:t xml:space="preserve"/>
      </w:r>
    </w:p>
    <w:p>
      <w:pPr>
        <w:pStyle w:val="Heading1"/>
        <w:pBdr>
          <w:bottom w:val="single" w:color="2E75B6" w:sz="6" w:space="6"/>
        </w:pBdr>
        <w:spacing w:after="160" w:before="320"/>
      </w:pPr>
      <w:r>
        <w:rPr>
          <w:rFonts w:ascii="Arial" w:cs="Arial" w:eastAsia="Arial" w:hAnsi="Arial"/>
          <w:b/>
          <w:bCs/>
          <w:color w:val="1F4E79"/>
          <w:sz w:val="36"/>
          <w:szCs w:val="36"/>
        </w:rPr>
        <w:t xml:space="preserve">6. References</w:t>
      </w:r>
    </w:p>
    <w:p>
      <w:pPr>
        <w:spacing w:after="60" w:before="60"/>
        <w:jc w:val="both"/>
      </w:pPr>
      <w:r>
        <w:rPr>
          <w:rFonts w:ascii="Arial" w:cs="Arial" w:eastAsia="Arial" w:hAnsi="Arial"/>
          <w:sz w:val="22"/>
          <w:szCs w:val="22"/>
        </w:rPr>
        <w:t xml:space="preserve">Bandara, W. G. C., &amp; Patel, V. M. (2022). A transformer-based siamese network for change detection. IGARSS 2022.</w:t>
      </w:r>
    </w:p>
    <w:p>
      <w:pPr>
        <w:spacing w:after="0" w:before="40"/>
      </w:pPr>
      <w:r>
        <w:t xml:space="preserve"/>
      </w:r>
    </w:p>
    <w:p>
      <w:pPr>
        <w:spacing w:after="60" w:before="60"/>
        <w:jc w:val="both"/>
      </w:pPr>
      <w:r>
        <w:rPr>
          <w:rFonts w:ascii="Arial" w:cs="Arial" w:eastAsia="Arial" w:hAnsi="Arial"/>
          <w:sz w:val="22"/>
          <w:szCs w:val="22"/>
        </w:rPr>
        <w:t xml:space="preserve">Chen, H., Shi, Z., et al. (2021). Remote Sensing Image Change Detection with Transformers. IEEE TGRS.</w:t>
      </w:r>
    </w:p>
    <w:p>
      <w:pPr>
        <w:spacing w:after="0" w:before="40"/>
      </w:pPr>
      <w:r>
        <w:t xml:space="preserve"/>
      </w:r>
    </w:p>
    <w:p>
      <w:pPr>
        <w:spacing w:after="60" w:before="60"/>
        <w:jc w:val="both"/>
      </w:pPr>
      <w:r>
        <w:rPr>
          <w:rFonts w:ascii="Arial" w:cs="Arial" w:eastAsia="Arial" w:hAnsi="Arial"/>
          <w:sz w:val="22"/>
          <w:szCs w:val="22"/>
        </w:rPr>
        <w:t xml:space="preserve">Lin, T.-Y., Maire, M., Belongie, S., et al. (2014). Microsoft COCO: Common Objects in Context. ECCV 2014.</w:t>
      </w:r>
    </w:p>
    <w:p>
      <w:pPr>
        <w:spacing w:after="0" w:before="40"/>
      </w:pPr>
      <w:r>
        <w:t xml:space="preserve"/>
      </w:r>
    </w:p>
    <w:p>
      <w:pPr>
        <w:spacing w:after="60" w:before="60"/>
        <w:jc w:val="both"/>
      </w:pPr>
      <w:r>
        <w:rPr>
          <w:rFonts w:ascii="Arial" w:cs="Arial" w:eastAsia="Arial" w:hAnsi="Arial"/>
          <w:sz w:val="22"/>
          <w:szCs w:val="22"/>
        </w:rPr>
        <w:t xml:space="preserve">Mohajerani, S., &amp; Saeedi, P. (2019). Cloud-Net: An End-to-end Cloud Detection Algorithm for Landsat 8 Imagery. IGARSS 2019.</w:t>
      </w:r>
    </w:p>
    <w:p>
      <w:pPr>
        <w:spacing w:after="0" w:before="40"/>
      </w:pPr>
      <w:r>
        <w:t xml:space="preserve"/>
      </w:r>
    </w:p>
    <w:p>
      <w:pPr>
        <w:spacing w:after="60" w:before="60"/>
        <w:jc w:val="both"/>
      </w:pPr>
      <w:r>
        <w:rPr>
          <w:rFonts w:ascii="Arial" w:cs="Arial" w:eastAsia="Arial" w:hAnsi="Arial"/>
          <w:sz w:val="22"/>
          <w:szCs w:val="22"/>
        </w:rPr>
        <w:t xml:space="preserve">Zhou, B., Zhao, H., Puig, X., Fidler, S., Barriuso, A., &amp; Torralba, A. (2017). Scene parsing through ADE20K dataset. CVPR 2017.</w:t>
      </w:r>
    </w:p>
    <w:p>
      <w:pPr>
        <w:spacing w:after="0" w:before="40"/>
      </w:pPr>
      <w:r>
        <w:t xml:space="preserve"/>
      </w:r>
    </w:p>
    <w:p>
      <w:pPr>
        <w:spacing w:after="60" w:before="60"/>
        <w:jc w:val="both"/>
      </w:pPr>
      <w:r>
        <w:rPr>
          <w:rFonts w:ascii="Arial" w:cs="Arial" w:eastAsia="Arial" w:hAnsi="Arial"/>
          <w:sz w:val="22"/>
          <w:szCs w:val="22"/>
        </w:rPr>
        <w:t xml:space="preserve">ESA Copernicus Programme. Sentinel-2 Level 2A Surface Reflectance. https://sentinel.esa.int</w:t>
      </w:r>
    </w:p>
    <w:p>
      <w:pPr>
        <w:spacing w:after="0" w:before="40"/>
      </w:pPr>
      <w:r>
        <w:t xml:space="preserve"/>
      </w:r>
    </w:p>
    <w:p>
      <w:pPr>
        <w:spacing w:after="60" w:before="60"/>
        <w:jc w:val="both"/>
      </w:pPr>
      <w:r>
        <w:rPr>
          <w:rFonts w:ascii="Arial" w:cs="Arial" w:eastAsia="Arial" w:hAnsi="Arial"/>
          <w:sz w:val="22"/>
          <w:szCs w:val="22"/>
        </w:rPr>
        <w:t xml:space="preserve">Egyptian Space Agency (EgSA). HORUS-1 Mission Overview. https://www.narss.sci.eg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KEMET1 GP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55555"/>
        <w:sz w:val="18"/>
        <w:szCs w:val="18"/>
      </w:rPr>
      <w:t xml:space="preserve">KEMET1 — Dataset Reference Document</w:t>
    </w:r>
    <w:r>
      <w:rPr>
        <w:rFonts w:ascii="Arial" w:cs="Arial" w:eastAsia="Arial" w:hAnsi="Arial"/>
        <w:sz w:val="18"/>
        <w:szCs w:val="18"/>
      </w:rPr>
      <w:t xml:space="preserve">	</w:t>
    </w:r>
    <w:r>
      <w:rPr>
        <w:rFonts w:ascii="Arial" w:cs="Arial" w:eastAsia="Arial" w:hAnsi="Arial"/>
        <w:color w:val="888888"/>
        <w:sz w:val="18"/>
        <w:szCs w:val="18"/>
      </w:rPr>
      <w:t xml:space="preserve">Graduation Project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2026-07-02T15:15:44.730Z</dcterms:created>
  <dcterms:modified xsi:type="dcterms:W3CDTF">2026-07-02T15:15:44.731Z</dcterms:modified>
</cp:coreProperties>
</file>

<file path=docProps/custom.xml><?xml version="1.0" encoding="utf-8"?>
<Properties xmlns="http://schemas.openxmlformats.org/officeDocument/2006/custom-properties" xmlns:vt="http://schemas.openxmlformats.org/officeDocument/2006/docPropsVTypes"/>
</file>