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60CDE">
      <w:pPr>
        <w:spacing w:after="120"/>
        <w:jc w:val="center"/>
        <w:rPr>
          <w:rFonts w:ascii="Times New Roman" w:hAnsi="Times New Roman" w:eastAsia="Times New Roman" w:cs="Times New Roman"/>
          <w:b/>
          <w:sz w:val="32"/>
          <w:szCs w:val="24"/>
        </w:rPr>
      </w:pPr>
      <w:r>
        <w:rPr>
          <w:rFonts w:ascii="Times New Roman" w:hAnsi="Times New Roman" w:eastAsia="Times New Roman" w:cs="Times New Roman"/>
          <w:b/>
          <w:sz w:val="32"/>
          <w:szCs w:val="24"/>
        </w:rPr>
        <w:t>Experimental Evaluation of EC2-Based and Serverless Architectures for Bursty Web Application Workloads on AWS: Performance, Scalability, and Cost Trade-offs</w:t>
      </w:r>
      <w:bookmarkStart w:id="0" w:name="_GoBack"/>
      <w:bookmarkEnd w:id="0"/>
    </w:p>
    <w:p w14:paraId="19154ACF">
      <w:pPr>
        <w:keepNext w:val="0"/>
        <w:keepLines w:val="0"/>
        <w:pageBreakBefore w:val="0"/>
        <w:widowControl/>
        <w:kinsoku/>
        <w:wordWrap/>
        <w:overflowPunct/>
        <w:topLinePunct w:val="0"/>
        <w:autoSpaceDE/>
        <w:autoSpaceDN/>
        <w:bidi w:val="0"/>
        <w:adjustRightInd/>
        <w:snapToGrid/>
        <w:spacing w:beforeAutospacing="0" w:after="120" w:afterAutospacing="0"/>
        <w:jc w:val="center"/>
        <w:textAlignment w:val="auto"/>
        <w:rPr>
          <w:rFonts w:hint="default" w:ascii="Times New Roman" w:hAnsi="Times New Roman" w:eastAsia="SimSun" w:cs="Times New Roman"/>
          <w:i/>
          <w:iCs/>
          <w:sz w:val="20"/>
          <w:szCs w:val="20"/>
        </w:rPr>
      </w:pPr>
      <w:r>
        <w:rPr>
          <w:rFonts w:hint="default" w:ascii="Times New Roman" w:hAnsi="Times New Roman" w:eastAsia="SimSun" w:cs="Times New Roman"/>
          <w:i/>
          <w:iCs/>
          <w:sz w:val="20"/>
          <w:szCs w:val="20"/>
        </w:rPr>
        <w:t>Preprint</w:t>
      </w:r>
    </w:p>
    <w:p w14:paraId="2C3CEE45">
      <w:pPr>
        <w:keepNext w:val="0"/>
        <w:keepLines w:val="0"/>
        <w:pageBreakBefore w:val="0"/>
        <w:widowControl/>
        <w:kinsoku/>
        <w:wordWrap/>
        <w:overflowPunct/>
        <w:topLinePunct w:val="0"/>
        <w:autoSpaceDE/>
        <w:autoSpaceDN/>
        <w:bidi w:val="0"/>
        <w:adjustRightInd/>
        <w:snapToGrid/>
        <w:spacing w:beforeAutospacing="0" w:after="120" w:afterAutospacing="0"/>
        <w:jc w:val="center"/>
        <w:textAlignment w:val="auto"/>
        <w:rPr>
          <w:rFonts w:hint="default" w:ascii="Times New Roman" w:hAnsi="Times New Roman" w:eastAsia="SimSun"/>
          <w:b/>
          <w:bCs/>
          <w:i w:val="0"/>
          <w:iCs w:val="0"/>
          <w:sz w:val="20"/>
          <w:szCs w:val="20"/>
        </w:rPr>
      </w:pPr>
      <w:r>
        <w:rPr>
          <w:rFonts w:hint="default" w:ascii="Times New Roman" w:hAnsi="Times New Roman" w:eastAsia="SimSun"/>
          <w:b/>
          <w:bCs/>
          <w:i w:val="0"/>
          <w:iCs w:val="0"/>
          <w:sz w:val="20"/>
          <w:szCs w:val="20"/>
        </w:rPr>
        <w:t>Shaheen Sardar</w:t>
      </w:r>
    </w:p>
    <w:p w14:paraId="36C87393">
      <w:pPr>
        <w:keepNext w:val="0"/>
        <w:keepLines w:val="0"/>
        <w:pageBreakBefore w:val="0"/>
        <w:widowControl/>
        <w:kinsoku/>
        <w:wordWrap/>
        <w:overflowPunct/>
        <w:topLinePunct w:val="0"/>
        <w:autoSpaceDE/>
        <w:autoSpaceDN/>
        <w:bidi w:val="0"/>
        <w:adjustRightInd/>
        <w:snapToGrid/>
        <w:spacing w:beforeAutospacing="0" w:after="120" w:afterAutospacing="0"/>
        <w:jc w:val="center"/>
        <w:textAlignment w:val="auto"/>
        <w:rPr>
          <w:rFonts w:hint="default" w:ascii="Times New Roman" w:hAnsi="Times New Roman" w:eastAsia="SimSun" w:cs="Times New Roman"/>
          <w:sz w:val="20"/>
          <w:szCs w:val="20"/>
        </w:rPr>
      </w:pPr>
      <w:r>
        <w:rPr>
          <w:rFonts w:hint="default" w:ascii="Times New Roman" w:hAnsi="Times New Roman" w:eastAsia="SimSun" w:cs="Times New Roman"/>
          <w:sz w:val="20"/>
          <w:szCs w:val="20"/>
        </w:rPr>
        <w:t>Independent Researcher, Pakistan</w:t>
      </w:r>
    </w:p>
    <w:p w14:paraId="5DBC98F9">
      <w:pPr>
        <w:keepNext w:val="0"/>
        <w:keepLines w:val="0"/>
        <w:pageBreakBefore w:val="0"/>
        <w:widowControl/>
        <w:kinsoku/>
        <w:wordWrap/>
        <w:overflowPunct/>
        <w:topLinePunct w:val="0"/>
        <w:autoSpaceDE/>
        <w:autoSpaceDN/>
        <w:bidi w:val="0"/>
        <w:adjustRightInd/>
        <w:snapToGrid/>
        <w:spacing w:beforeAutospacing="0" w:after="120" w:afterAutospacing="0"/>
        <w:jc w:val="center"/>
        <w:textAlignment w:val="auto"/>
        <w:rPr>
          <w:rFonts w:ascii="Times New Roman" w:hAnsi="Times New Roman" w:eastAsia="Times New Roman" w:cs="Times New Roman"/>
          <w:b/>
          <w:sz w:val="22"/>
        </w:rPr>
      </w:pPr>
      <w:r>
        <w:rPr>
          <w:rFonts w:hint="default" w:ascii="Times New Roman" w:hAnsi="Times New Roman" w:eastAsia="SimSun" w:cs="Times New Roman"/>
          <w:sz w:val="20"/>
          <w:szCs w:val="20"/>
        </w:rPr>
        <w:t>Corresponding author: shaheensardar.it@gmail.com</w:t>
      </w:r>
    </w:p>
    <w:p w14:paraId="55F2A44C">
      <w:pPr>
        <w:spacing w:before="60" w:after="80"/>
        <w:jc w:val="left"/>
        <w:rPr>
          <w:rFonts w:ascii="Times New Roman" w:hAnsi="Times New Roman" w:eastAsia="Times New Roman" w:cs="Times New Roman"/>
          <w:b/>
          <w:sz w:val="22"/>
        </w:rPr>
      </w:pPr>
    </w:p>
    <w:p w14:paraId="66D25274">
      <w:pPr>
        <w:spacing w:before="60" w:after="80"/>
        <w:jc w:val="left"/>
      </w:pPr>
      <w:r>
        <w:rPr>
          <w:rFonts w:ascii="Times New Roman" w:hAnsi="Times New Roman" w:eastAsia="Times New Roman" w:cs="Times New Roman"/>
          <w:b/>
          <w:sz w:val="22"/>
        </w:rPr>
        <w:t>Abstract</w:t>
      </w:r>
    </w:p>
    <w:p w14:paraId="27C5C3E2">
      <w:pPr>
        <w:spacing w:after="80" w:line="252" w:lineRule="auto"/>
        <w:ind w:firstLine="238"/>
        <w:jc w:val="both"/>
      </w:pPr>
      <w:r>
        <w:rPr>
          <w:rFonts w:ascii="Times New Roman" w:hAnsi="Times New Roman" w:eastAsia="Times New Roman" w:cs="Times New Roman"/>
          <w:sz w:val="20"/>
        </w:rPr>
        <w:t>Cloud applications can be deployed using continuously provisioned virtual machines or serverless platforms that allocate computing resources on demand. Choosing between these approaches is not straightforward because performance, scalability, reliability, and cost can change depending on workload characteristics. This study experimentally compares a fixed-capacity Amazon EC2 deployment with an AWS serverless architecture using API Gateway and Lambda. Both implementations executed the same deterministic CPU-bound /compute workload based on 25,000 chained SHA-256 operations. The EC2 environment used a t3.small instance running Ubuntu 24.04 with Flask, Gunicorn, and Nginx, while the serverless environment used AWS Lambda with Python 3.12, x86_64 architecture, and 1024 MB of memory.</w:t>
      </w:r>
    </w:p>
    <w:p w14:paraId="4709D118">
      <w:pPr>
        <w:spacing w:after="80" w:line="252" w:lineRule="auto"/>
        <w:ind w:firstLine="238"/>
        <w:jc w:val="both"/>
      </w:pPr>
      <w:r>
        <w:rPr>
          <w:rFonts w:ascii="Times New Roman" w:hAnsi="Times New Roman" w:eastAsia="Times New Roman" w:cs="Times New Roman"/>
          <w:sz w:val="20"/>
        </w:rPr>
        <w:t>Six workload profiles were evaluated: low, moderate, high, sudden burst, idle-to-burst, and sustained load. Each workload was executed three times on both architectures, producing 36 accepted formal trials. Because only three repetitions were available for each condition, the analysis focuses on descriptive statistics rather than statistical-significance claims. The results show that neither architecture was consistently superior across all conditions. During the sudden-burst workload, Serverless reduced mean latency by 32.1% and increased achieved throughput by 14.5%, although it also showed a 0.434% mean failure rate and a normalized cost per 1,000 successful requests 9.50 times that of EC2. In the idle-to-burst workload, Serverless reduced mean latency by 41.9% and increased throughput by 30.3%, while its normalized cost moved much closer to EC2 at 1.06 times the EC2 value. Under sustained load, Serverless achieved slightly higher throughput but showed substantially higher P95 latency and a higher failure rate. Overall, the findings indicate a workload-dependent trade-off: Serverless was often more responsive under burst-oriented traffic, whereas the tested EC2 configuration generally provided stronger request reliability and lower normalized cost. The observed Lambda concurrency ceiling of 10 is treated only as an account-specific experimental constraint and not as a general AWS Lambda scalability limit.</w:t>
      </w:r>
    </w:p>
    <w:p w14:paraId="3C152BC6">
      <w:pPr>
        <w:spacing w:before="40" w:after="120"/>
      </w:pPr>
      <w:r>
        <w:rPr>
          <w:rFonts w:ascii="Times New Roman" w:hAnsi="Times New Roman" w:eastAsia="Times New Roman" w:cs="Times New Roman"/>
          <w:b/>
          <w:sz w:val="20"/>
        </w:rPr>
        <w:t xml:space="preserve">Keywords— </w:t>
      </w:r>
      <w:r>
        <w:rPr>
          <w:rFonts w:ascii="Times New Roman" w:hAnsi="Times New Roman" w:eastAsia="Times New Roman" w:cs="Times New Roman"/>
          <w:sz w:val="20"/>
        </w:rPr>
        <w:t>Cloud computing, serverless computing, Amazon EC2, AWS Lambda, burst workloads, performance evaluation, scalability, tail latency, cloud cost.</w:t>
      </w:r>
    </w:p>
    <w:p w14:paraId="5AB65740">
      <w:pPr>
        <w:pStyle w:val="2"/>
      </w:pPr>
      <w:r>
        <w:rPr>
          <w:rFonts w:ascii="Times New Roman" w:hAnsi="Times New Roman" w:eastAsia="Times New Roman" w:cs="Times New Roman"/>
          <w:sz w:val="22"/>
        </w:rPr>
        <w:t>1. Introduction</w:t>
      </w:r>
    </w:p>
    <w:p w14:paraId="3E3E966B">
      <w:pPr>
        <w:pStyle w:val="3"/>
      </w:pPr>
      <w:r>
        <w:rPr>
          <w:rFonts w:ascii="Times New Roman" w:hAnsi="Times New Roman" w:eastAsia="Times New Roman" w:cs="Times New Roman"/>
          <w:sz w:val="22"/>
        </w:rPr>
        <w:t>1.1 Background</w:t>
      </w:r>
    </w:p>
    <w:p w14:paraId="6170567D">
      <w:pPr>
        <w:spacing w:after="80" w:line="252" w:lineRule="auto"/>
        <w:ind w:firstLine="238"/>
        <w:jc w:val="both"/>
      </w:pPr>
      <w:r>
        <w:rPr>
          <w:rFonts w:ascii="Times New Roman" w:hAnsi="Times New Roman" w:eastAsia="Times New Roman" w:cs="Times New Roman"/>
          <w:sz w:val="20"/>
        </w:rPr>
        <w:t>Cloud platforms provide several ways to deploy and operate web applications. One of the most common approaches is to use virtual machines, where the user provisions computing capacity and manages much of the operating system and application environment. A different approach is serverless computing, particularly Function-as-a-Service (FaaS), where the cloud provider takes responsibility for much of the underlying resource provisioning, scaling, and runtime management.</w:t>
      </w:r>
    </w:p>
    <w:p w14:paraId="3E3AF743">
      <w:pPr>
        <w:spacing w:after="80" w:line="252" w:lineRule="auto"/>
        <w:ind w:firstLine="238"/>
        <w:jc w:val="both"/>
      </w:pPr>
      <w:r>
        <w:rPr>
          <w:rFonts w:ascii="Times New Roman" w:hAnsi="Times New Roman" w:eastAsia="Times New Roman" w:cs="Times New Roman"/>
          <w:sz w:val="20"/>
        </w:rPr>
        <w:t>This difference in responsibility can make serverless platforms attractive for applications with changing or unpredictable traffic. However, reducing infrastructure-management effort does not necessarily make application behavior simpler. Previous research has shown that commercial FaaS platforms can be affected by execution-environment initialization, isolation mechanisms, resource allocation, and workload intensity [1], [2]. Production traces have also shown that serverless applications may experience large variations in invocation frequency, making intermittent and bursty demand an important workload pattern to evaluate [3].</w:t>
      </w:r>
    </w:p>
    <w:p w14:paraId="2E98FA25">
      <w:pPr>
        <w:spacing w:after="80" w:line="252" w:lineRule="auto"/>
        <w:ind w:firstLine="238"/>
        <w:jc w:val="both"/>
      </w:pPr>
      <w:r>
        <w:rPr>
          <w:rFonts w:ascii="Times New Roman" w:hAnsi="Times New Roman" w:eastAsia="Times New Roman" w:cs="Times New Roman"/>
          <w:sz w:val="20"/>
        </w:rPr>
        <w:t>AWS Lambda is one of the most widely used FaaS services. Lambda executes functions inside isolated execution environments, with AWS using Firecracker microVM technology as part of its isolation architecture [4]. Amazon EC2 follows a different model: users explicitly provision a virtual machine and retain control over its operating system, application stack, and available capacity.</w:t>
      </w:r>
    </w:p>
    <w:p w14:paraId="7EEB3D86">
      <w:pPr>
        <w:spacing w:after="80" w:line="252" w:lineRule="auto"/>
        <w:ind w:firstLine="238"/>
        <w:jc w:val="both"/>
      </w:pPr>
      <w:r>
        <w:rPr>
          <w:rFonts w:ascii="Times New Roman" w:hAnsi="Times New Roman" w:eastAsia="Times New Roman" w:cs="Times New Roman"/>
          <w:sz w:val="20"/>
        </w:rPr>
        <w:t>The pricing models also differ. EC2 charges for provisioned instance capacity while the instance is running, whereas AWS Lambda pricing is largely based on request count and execution duration [12], [13]. Because of these differences, choosing between EC2 and Serverless should not be based only on which architecture appears faster. The decision also depends on workload shape, reliability requirements, scaling behavior, and cost.</w:t>
      </w:r>
    </w:p>
    <w:p w14:paraId="3604AA47">
      <w:pPr>
        <w:pStyle w:val="3"/>
      </w:pPr>
      <w:r>
        <w:rPr>
          <w:rFonts w:ascii="Times New Roman" w:hAnsi="Times New Roman" w:eastAsia="Times New Roman" w:cs="Times New Roman"/>
          <w:sz w:val="22"/>
        </w:rPr>
        <w:t>1.2 Problem</w:t>
      </w:r>
    </w:p>
    <w:p w14:paraId="00FE29C7">
      <w:pPr>
        <w:spacing w:after="80" w:line="252" w:lineRule="auto"/>
        <w:ind w:firstLine="238"/>
        <w:jc w:val="both"/>
      </w:pPr>
      <w:r>
        <w:rPr>
          <w:rFonts w:ascii="Times New Roman" w:hAnsi="Times New Roman" w:eastAsia="Times New Roman" w:cs="Times New Roman"/>
          <w:sz w:val="20"/>
        </w:rPr>
        <w:t>For architecture selection, broad claims such as “serverless scales better” or “virtual machines are cheaper” are not very useful on their own. A system that behaves well under a steady light load may react differently to a sudden burst, and an architecture with low average latency can still have poor tail latency or a higher failure rate. Throughput, reliability, and cost may also move in opposite directions. This makes high-percentile latency important: as Dean and Barroso note, tail delays can strongly affect user-perceived behavior even when averages look acceptable [9].</w:t>
      </w:r>
    </w:p>
    <w:p w14:paraId="341C1404">
      <w:pPr>
        <w:pStyle w:val="3"/>
      </w:pPr>
      <w:r>
        <w:rPr>
          <w:rFonts w:ascii="Times New Roman" w:hAnsi="Times New Roman" w:eastAsia="Times New Roman" w:cs="Times New Roman"/>
          <w:sz w:val="22"/>
        </w:rPr>
        <w:t>1.3 Research Gap</w:t>
      </w:r>
    </w:p>
    <w:p w14:paraId="0C00544B">
      <w:pPr>
        <w:spacing w:after="80" w:line="252" w:lineRule="auto"/>
        <w:ind w:firstLine="238"/>
        <w:jc w:val="both"/>
      </w:pPr>
      <w:r>
        <w:rPr>
          <w:rFonts w:ascii="Times New Roman" w:hAnsi="Times New Roman" w:eastAsia="Times New Roman" w:cs="Times New Roman"/>
          <w:sz w:val="20"/>
        </w:rPr>
        <w:t>Previous work has examined commercial serverless platforms [2], large production FaaS workloads [3], cold-start and launch overheads [5], [6], alternative runtime and isolation designs [7], and performance/cost modeling for FaaS applications [8]. The EC2-versus-serverless comparison is therefore not presented here as a new research problem by itself. The contribution of this study is a small, reproducible case study in which the application computation, endpoint, client behavior, AWS Region, workload definitions, trial count, metric-extraction procedure, and cost method were fixed before the formal analysis. The goal is to show how the trade-offs change across workload patterns, not to produce a universal ranking of the two AWS services.</w:t>
      </w:r>
    </w:p>
    <w:p w14:paraId="2715569B">
      <w:pPr>
        <w:pStyle w:val="3"/>
      </w:pPr>
      <w:r>
        <w:rPr>
          <w:rFonts w:ascii="Times New Roman" w:hAnsi="Times New Roman" w:eastAsia="Times New Roman" w:cs="Times New Roman"/>
          <w:sz w:val="22"/>
        </w:rPr>
        <w:t>1.4 Research Questions</w:t>
      </w:r>
    </w:p>
    <w:p w14:paraId="429C9B3E">
      <w:pPr>
        <w:spacing w:after="80" w:line="252" w:lineRule="auto"/>
        <w:ind w:firstLine="238"/>
        <w:jc w:val="both"/>
      </w:pPr>
      <w:r>
        <w:rPr>
          <w:rFonts w:ascii="Times New Roman" w:hAnsi="Times New Roman" w:eastAsia="Times New Roman" w:cs="Times New Roman"/>
          <w:sz w:val="20"/>
        </w:rPr>
        <w:t>This study addresses four research questions:</w:t>
      </w:r>
    </w:p>
    <w:p w14:paraId="7B6BC402">
      <w:pPr>
        <w:spacing w:after="80" w:line="252" w:lineRule="auto"/>
        <w:ind w:firstLine="238"/>
        <w:jc w:val="both"/>
      </w:pPr>
      <w:r>
        <w:rPr>
          <w:rFonts w:ascii="Times New Roman" w:hAnsi="Times New Roman" w:eastAsia="Times New Roman" w:cs="Times New Roman"/>
          <w:b/>
          <w:sz w:val="20"/>
        </w:rPr>
        <w:t>RQ1.</w:t>
      </w:r>
      <w:r>
        <w:rPr>
          <w:rFonts w:ascii="Times New Roman" w:hAnsi="Times New Roman" w:eastAsia="Times New Roman" w:cs="Times New Roman"/>
          <w:sz w:val="20"/>
        </w:rPr>
        <w:t xml:space="preserve"> How do EC2 and serverless architectures differ in average latency, P95/P99 tail latency, and achieved throughput across low, moderate, high, burst, idle-to-burst, and sustained workloads?</w:t>
      </w:r>
    </w:p>
    <w:p w14:paraId="10F7C99D">
      <w:pPr>
        <w:spacing w:after="80" w:line="252" w:lineRule="auto"/>
        <w:ind w:firstLine="238"/>
        <w:jc w:val="both"/>
      </w:pPr>
      <w:r>
        <w:rPr>
          <w:rFonts w:ascii="Times New Roman" w:hAnsi="Times New Roman" w:eastAsia="Times New Roman" w:cs="Times New Roman"/>
          <w:b/>
          <w:sz w:val="20"/>
        </w:rPr>
        <w:t>RQ2.</w:t>
      </w:r>
      <w:r>
        <w:rPr>
          <w:rFonts w:ascii="Times New Roman" w:hAnsi="Times New Roman" w:eastAsia="Times New Roman" w:cs="Times New Roman"/>
          <w:sz w:val="20"/>
        </w:rPr>
        <w:t xml:space="preserve"> How do reliability and observed scaling behavior change as concurrency and burstiness increase?</w:t>
      </w:r>
    </w:p>
    <w:p w14:paraId="69FED80D">
      <w:pPr>
        <w:spacing w:after="80" w:line="252" w:lineRule="auto"/>
        <w:ind w:firstLine="238"/>
        <w:jc w:val="both"/>
      </w:pPr>
      <w:r>
        <w:rPr>
          <w:rFonts w:ascii="Times New Roman" w:hAnsi="Times New Roman" w:eastAsia="Times New Roman" w:cs="Times New Roman"/>
          <w:b/>
          <w:sz w:val="20"/>
        </w:rPr>
        <w:t>RQ3.</w:t>
      </w:r>
      <w:r>
        <w:rPr>
          <w:rFonts w:ascii="Times New Roman" w:hAnsi="Times New Roman" w:eastAsia="Times New Roman" w:cs="Times New Roman"/>
          <w:sz w:val="20"/>
        </w:rPr>
        <w:t xml:space="preserve"> How does estimated cost per 1,000 successful requests differ between continuously provisioned EC2 capacity and request/duration-based serverless execution?</w:t>
      </w:r>
    </w:p>
    <w:p w14:paraId="19975A83">
      <w:pPr>
        <w:spacing w:after="80" w:line="252" w:lineRule="auto"/>
        <w:ind w:firstLine="238"/>
        <w:jc w:val="both"/>
      </w:pPr>
      <w:r>
        <w:rPr>
          <w:rFonts w:ascii="Times New Roman" w:hAnsi="Times New Roman" w:eastAsia="Times New Roman" w:cs="Times New Roman"/>
          <w:b/>
          <w:sz w:val="20"/>
        </w:rPr>
        <w:t>RQ4.</w:t>
      </w:r>
      <w:r>
        <w:rPr>
          <w:rFonts w:ascii="Times New Roman" w:hAnsi="Times New Roman" w:eastAsia="Times New Roman" w:cs="Times New Roman"/>
          <w:sz w:val="20"/>
        </w:rPr>
        <w:t xml:space="preserve"> How should resource behavior and an account-specific Lambda concurrency quota be interpreted without generalizing an experimental account constraint to AWS Lambda as a service?</w:t>
      </w:r>
    </w:p>
    <w:p w14:paraId="421DDC73">
      <w:pPr>
        <w:pStyle w:val="3"/>
      </w:pPr>
      <w:r>
        <w:rPr>
          <w:rFonts w:ascii="Times New Roman" w:hAnsi="Times New Roman" w:eastAsia="Times New Roman" w:cs="Times New Roman"/>
          <w:sz w:val="22"/>
        </w:rPr>
        <w:t>1.5 Contributions</w:t>
      </w:r>
    </w:p>
    <w:p w14:paraId="52D35A02">
      <w:pPr>
        <w:spacing w:after="80" w:line="252" w:lineRule="auto"/>
        <w:ind w:firstLine="238"/>
        <w:jc w:val="both"/>
      </w:pPr>
      <w:r>
        <w:rPr>
          <w:rFonts w:ascii="Times New Roman" w:hAnsi="Times New Roman" w:eastAsia="Times New Roman" w:cs="Times New Roman"/>
          <w:sz w:val="20"/>
        </w:rPr>
        <w:t>This study makes the following practical contributions:</w:t>
      </w:r>
    </w:p>
    <w:p w14:paraId="53E00DCD">
      <w:pPr>
        <w:spacing w:after="40"/>
        <w:ind w:left="369" w:hanging="255"/>
      </w:pPr>
      <w:r>
        <w:rPr>
          <w:rFonts w:ascii="Times New Roman" w:hAnsi="Times New Roman" w:eastAsia="Times New Roman" w:cs="Times New Roman"/>
          <w:sz w:val="20"/>
        </w:rPr>
        <w:t>1. A controlled EC2-versus-serverless experiment using identical deterministic application-level computation.</w:t>
      </w:r>
    </w:p>
    <w:p w14:paraId="71A996E3">
      <w:pPr>
        <w:spacing w:after="40"/>
        <w:ind w:left="369" w:hanging="255"/>
      </w:pPr>
      <w:r>
        <w:rPr>
          <w:rFonts w:ascii="Times New Roman" w:hAnsi="Times New Roman" w:eastAsia="Times New Roman" w:cs="Times New Roman"/>
          <w:sz w:val="20"/>
        </w:rPr>
        <w:t>2. Six frozen workload profiles that distinguish low, moderate, high, sudden-burst, idle-to-burst, and sustained behavior.</w:t>
      </w:r>
    </w:p>
    <w:p w14:paraId="3709A632">
      <w:pPr>
        <w:spacing w:after="40"/>
        <w:ind w:left="369" w:hanging="255"/>
      </w:pPr>
      <w:r>
        <w:rPr>
          <w:rFonts w:ascii="Times New Roman" w:hAnsi="Times New Roman" w:eastAsia="Times New Roman" w:cs="Times New Roman"/>
          <w:sz w:val="20"/>
        </w:rPr>
        <w:t>3. Thirty-six accepted formal trials, with three repetitions for each workload/architecture condition and descriptive variability reporting.</w:t>
      </w:r>
    </w:p>
    <w:p w14:paraId="53301423">
      <w:pPr>
        <w:spacing w:after="40"/>
        <w:ind w:left="369" w:hanging="255"/>
      </w:pPr>
      <w:r>
        <w:rPr>
          <w:rFonts w:ascii="Times New Roman" w:hAnsi="Times New Roman" w:eastAsia="Times New Roman" w:cs="Times New Roman"/>
          <w:sz w:val="20"/>
        </w:rPr>
        <w:t>4. Joint analysis of average latency, median latency, P95/P99 latency, achieved throughput, request failures, CloudWatch resource metrics, and normalized list-price cost.</w:t>
      </w:r>
    </w:p>
    <w:p w14:paraId="13CCACCF">
      <w:pPr>
        <w:spacing w:after="40"/>
        <w:ind w:left="369" w:hanging="255"/>
      </w:pPr>
      <w:r>
        <w:rPr>
          <w:rFonts w:ascii="Times New Roman" w:hAnsi="Times New Roman" w:eastAsia="Times New Roman" w:cs="Times New Roman"/>
          <w:sz w:val="20"/>
        </w:rPr>
        <w:t>5. Explicit separation of formal results from pilot calibration data and explicit separation of Lambda platform behavior from the experimental account's concurrency quota.</w:t>
      </w:r>
    </w:p>
    <w:p w14:paraId="324AE6E8">
      <w:pPr>
        <w:spacing w:after="40"/>
        <w:ind w:left="369" w:hanging="255"/>
      </w:pPr>
      <w:r>
        <w:rPr>
          <w:rFonts w:ascii="Times New Roman" w:hAnsi="Times New Roman" w:eastAsia="Times New Roman" w:cs="Times New Roman"/>
          <w:sz w:val="20"/>
        </w:rPr>
        <w:t>6. A reproducibility package containing processed data, non-sensitive methodology artifacts, analysis scripts, tables, and figures.</w:t>
      </w:r>
    </w:p>
    <w:p w14:paraId="6C34B673">
      <w:pPr>
        <w:pStyle w:val="2"/>
      </w:pPr>
      <w:r>
        <w:rPr>
          <w:rFonts w:ascii="Times New Roman" w:hAnsi="Times New Roman" w:eastAsia="Times New Roman" w:cs="Times New Roman"/>
          <w:sz w:val="22"/>
        </w:rPr>
        <w:t>2. Related Work</w:t>
      </w:r>
    </w:p>
    <w:p w14:paraId="112DE2BF">
      <w:pPr>
        <w:spacing w:after="80" w:line="252" w:lineRule="auto"/>
        <w:ind w:firstLine="238"/>
        <w:jc w:val="both"/>
      </w:pPr>
      <w:r>
        <w:rPr>
          <w:rFonts w:ascii="Times New Roman" w:hAnsi="Times New Roman" w:eastAsia="Times New Roman" w:cs="Times New Roman"/>
          <w:sz w:val="20"/>
        </w:rPr>
        <w:t>Hellerstein et al. describe serverless computing as an important direction in cloud systems while also emphasizing the constraints introduced by provider-managed execution [1]. Wang et al. measured AWS Lambda, Azure Functions, and Google Cloud Functions from a customer perspective, including scalability, cold-start latency, isolation, and resource efficiency [2]. Their findings are directly relevant to this work because they show why serverless platforms need to be measured in practice rather than treated as interchangeable abstractions.</w:t>
      </w:r>
    </w:p>
    <w:p w14:paraId="352821EF">
      <w:pPr>
        <w:spacing w:after="80" w:line="252" w:lineRule="auto"/>
        <w:ind w:firstLine="238"/>
        <w:jc w:val="both"/>
      </w:pPr>
      <w:r>
        <w:rPr>
          <w:rFonts w:ascii="Times New Roman" w:hAnsi="Times New Roman" w:eastAsia="Times New Roman" w:cs="Times New Roman"/>
          <w:sz w:val="20"/>
        </w:rPr>
        <w:t>Shahrad et al. analyzed production FaaS traces and found large differences in invocation frequency across applications, reinforcing the importance of irregular and bursty demand [3]. Startup behavior is another recurring issue. Boucher et al. reported substantial cold-launch overhead in conventional FaaS paths [6], while Akkus et al. proposed SAND to reduce startup delay and improve elasticity and resource efficiency [5]. AWS also distinguishes cold initialization from reuse of an existing Lambda execution environment [11]. For that reason, the W05 idle-to-burst workload in this study is not labeled a cold-start experiment simply because it includes an idle period.</w:t>
      </w:r>
    </w:p>
    <w:p w14:paraId="47458447">
      <w:pPr>
        <w:spacing w:after="80" w:line="252" w:lineRule="auto"/>
        <w:ind w:firstLine="238"/>
        <w:jc w:val="both"/>
      </w:pPr>
      <w:r>
        <w:rPr>
          <w:rFonts w:ascii="Times New Roman" w:hAnsi="Times New Roman" w:eastAsia="Times New Roman" w:cs="Times New Roman"/>
          <w:sz w:val="20"/>
        </w:rPr>
        <w:t>The underlying isolation mechanism can also influence serverless performance. Agache et al. describe Firecracker, the microVM monitor used for serverless workloads including AWS Lambda [4]. Shillaker and Pietzuch show that alternative isolation approaches can change both throughput and tail latency [7]. These results support measuring more than average response time; the present study therefore includes P95 and P99 latency alongside throughput and failures.</w:t>
      </w:r>
    </w:p>
    <w:p w14:paraId="7927CD7C">
      <w:pPr>
        <w:spacing w:after="80" w:line="252" w:lineRule="auto"/>
        <w:ind w:firstLine="238"/>
        <w:jc w:val="both"/>
      </w:pPr>
      <w:r>
        <w:rPr>
          <w:rFonts w:ascii="Times New Roman" w:hAnsi="Times New Roman" w:eastAsia="Times New Roman" w:cs="Times New Roman"/>
          <w:sz w:val="20"/>
        </w:rPr>
        <w:t>Cost is equally dependent on workload and configuration. Lin et al. developed detailed performance and cost models for FaaS applications and noted the difficulty of optimization when infrastructure behavior is partly opaque [8]. The billing units also differ in real AWS deployments: EC2 On-Demand pricing applies to provisioned instance capacity [13], while Lambda charges for requests and GB-second execution duration [12]. API Gateway adds its own request charge to the serverless HTTP path [15]. To make the comparison easier to interpret, this study reports estimated cost per 1,000 successful requests in addition to estimated per-trial cost.</w:t>
      </w:r>
    </w:p>
    <w:p w14:paraId="252AB092">
      <w:pPr>
        <w:spacing w:after="80" w:line="252" w:lineRule="auto"/>
        <w:ind w:firstLine="238"/>
        <w:jc w:val="both"/>
      </w:pPr>
      <w:r>
        <w:rPr>
          <w:rFonts w:ascii="Times New Roman" w:hAnsi="Times New Roman" w:eastAsia="Times New Roman" w:cs="Times New Roman"/>
          <w:sz w:val="20"/>
        </w:rPr>
        <w:t>Dean and Barroso's “tail at scale” analysis explains why high-percentile latency deserves separate attention in interactive systems [9]. The experiment here is much smaller than a warehouse-scale service, but the same measurement principle applies: P95 and P99 can expose behavior that is hidden by an average. For this reason, latency, tail latency, throughput, reliability, and cost are treated as separate outcome dimensions throughout the paper.</w:t>
      </w:r>
    </w:p>
    <w:p w14:paraId="0F790DAF">
      <w:pPr>
        <w:pStyle w:val="2"/>
      </w:pPr>
      <w:r>
        <w:rPr>
          <w:rFonts w:ascii="Times New Roman" w:hAnsi="Times New Roman" w:eastAsia="Times New Roman" w:cs="Times New Roman"/>
          <w:sz w:val="22"/>
        </w:rPr>
        <w:t>3. Experimental Methodology</w:t>
      </w:r>
    </w:p>
    <w:p w14:paraId="4D1BC5C0">
      <w:pPr>
        <w:pStyle w:val="3"/>
      </w:pPr>
      <w:r>
        <w:rPr>
          <w:rFonts w:ascii="Times New Roman" w:hAnsi="Times New Roman" w:eastAsia="Times New Roman" w:cs="Times New Roman"/>
          <w:sz w:val="22"/>
        </w:rPr>
        <w:t>3.1 Research Design</w:t>
      </w:r>
    </w:p>
    <w:p w14:paraId="254FE217">
      <w:pPr>
        <w:spacing w:after="80" w:line="252" w:lineRule="auto"/>
        <w:ind w:firstLine="238"/>
        <w:jc w:val="both"/>
      </w:pPr>
      <w:r>
        <w:rPr>
          <w:rFonts w:ascii="Times New Roman" w:hAnsi="Times New Roman" w:eastAsia="Times New Roman" w:cs="Times New Roman"/>
          <w:sz w:val="20"/>
        </w:rPr>
        <w:t>The experiment followed a controlled factorial design with repeated trials. The two main factors were architecture (EC2 or Serverless) and workload profile (W01–W06). Measured outcomes included response latency, P95/P99 tail latency, achieved requests per second, request failures, EC2 utilization, Lambda/API Gateway metrics, and estimated cost. To keep the comparison consistent, both architectures used the same AWS Region (ap-south-1), the same /compute behavior, the same Locust client logic, the same workload definitions, and the same analysis pipeline.</w:t>
      </w:r>
    </w:p>
    <w:p w14:paraId="1E8C6403">
      <w:pPr>
        <w:spacing w:after="80" w:line="252" w:lineRule="auto"/>
        <w:ind w:firstLine="238"/>
        <w:jc w:val="both"/>
      </w:pPr>
      <w:r>
        <w:rPr>
          <w:rFonts w:ascii="Times New Roman" w:hAnsi="Times New Roman" w:eastAsia="Times New Roman" w:cs="Times New Roman"/>
          <w:sz w:val="20"/>
        </w:rPr>
        <w:t>The final dataset contains 36 formal trials: six workloads × two architectures × three repetitions. With only three observations per condition, the results are summarized using means, sample standard deviations, ranges, architecture ratios, and relative differences. The paper does not report p-values or claim statistical significance from these n=3 groups.</w:t>
      </w:r>
    </w:p>
    <w:p w14:paraId="22E604ED">
      <w:pPr>
        <w:spacing w:before="80" w:after="40"/>
        <w:jc w:val="center"/>
      </w:pPr>
      <w:r>
        <w:rPr>
          <w:rFonts w:ascii="Times New Roman" w:hAnsi="Times New Roman" w:eastAsia="Times New Roman" w:cs="Times New Roman"/>
        </w:rPr>
        <w:drawing>
          <wp:inline distT="0" distB="0" distL="114300" distR="114300">
            <wp:extent cx="5806440" cy="3151505"/>
            <wp:effectExtent l="0" t="0" r="381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52067"/>
                    </a:xfrm>
                    <a:prstGeom prst="rect">
                      <a:avLst/>
                    </a:prstGeom>
                  </pic:spPr>
                </pic:pic>
              </a:graphicData>
            </a:graphic>
          </wp:inline>
        </w:drawing>
      </w:r>
    </w:p>
    <w:p w14:paraId="1818F73D">
      <w:pPr>
        <w:spacing w:after="120"/>
        <w:jc w:val="center"/>
      </w:pPr>
      <w:r>
        <w:rPr>
          <w:rFonts w:ascii="Times New Roman" w:hAnsi="Times New Roman" w:eastAsia="Times New Roman" w:cs="Times New Roman"/>
          <w:i/>
          <w:sz w:val="18"/>
        </w:rPr>
        <w:t>Figure 1. Experimental architecture and measurement workflow.</w:t>
      </w:r>
    </w:p>
    <w:p w14:paraId="4E1BA466">
      <w:pPr>
        <w:pStyle w:val="3"/>
      </w:pPr>
      <w:r>
        <w:rPr>
          <w:rFonts w:ascii="Times New Roman" w:hAnsi="Times New Roman" w:eastAsia="Times New Roman" w:cs="Times New Roman"/>
          <w:sz w:val="22"/>
        </w:rPr>
        <w:t>3.2 EC2 Architecture</w:t>
      </w:r>
    </w:p>
    <w:p w14:paraId="7EB108D4">
      <w:pPr>
        <w:spacing w:after="80" w:line="252" w:lineRule="auto"/>
        <w:ind w:firstLine="238"/>
        <w:jc w:val="both"/>
      </w:pPr>
      <w:r>
        <w:rPr>
          <w:rFonts w:ascii="Times New Roman" w:hAnsi="Times New Roman" w:eastAsia="Times New Roman" w:cs="Times New Roman"/>
          <w:sz w:val="20"/>
        </w:rPr>
        <w:t>The EC2 deployment used a Linux t3.small instance in ap-south-1 and was provisioned with Terraform. The Flask application ran in a Python virtual environment. Gunicorn was managed by systemd, and Nginx served as the reverse proxy for the /compute endpoint. The instance had an 8 GB encrypted gp3 EBS root volume and a public IPv4 endpoint. Amazon Systems Manager was enabled for management, and detailed EC2 CloudWatch monitoring supplied the infrastructure telemetry used in the formal analysis.</w:t>
      </w:r>
    </w:p>
    <w:p w14:paraId="3A93F623">
      <w:pPr>
        <w:spacing w:after="80" w:line="252" w:lineRule="auto"/>
        <w:ind w:firstLine="238"/>
        <w:jc w:val="both"/>
      </w:pPr>
      <w:r>
        <w:rPr>
          <w:rFonts w:ascii="Times New Roman" w:hAnsi="Times New Roman" w:eastAsia="Times New Roman" w:cs="Times New Roman"/>
          <w:sz w:val="20"/>
        </w:rPr>
        <w:t>The choice of t3.small matters when interpreting the results. T3 instances are burstable and rely on CPU credits; AWS documents t3.small as a 2-vCPU instance with a 20% baseline per vCPU, and T3 instances normally launch in Unlimited mode unless the account configuration changes that behavior [14]. The EC2 measurements in this paper therefore describe this specific burstable setup rather than EC2 performance in general.</w:t>
      </w:r>
    </w:p>
    <w:p w14:paraId="06CEDDD3">
      <w:pPr>
        <w:pStyle w:val="3"/>
      </w:pPr>
      <w:r>
        <w:rPr>
          <w:rFonts w:ascii="Times New Roman" w:hAnsi="Times New Roman" w:eastAsia="Times New Roman" w:cs="Times New Roman"/>
          <w:sz w:val="22"/>
        </w:rPr>
        <w:t>3.3 Serverless Architecture</w:t>
      </w:r>
    </w:p>
    <w:p w14:paraId="34366592">
      <w:pPr>
        <w:spacing w:after="80" w:line="252" w:lineRule="auto"/>
        <w:ind w:firstLine="238"/>
        <w:jc w:val="both"/>
      </w:pPr>
      <w:r>
        <w:rPr>
          <w:rFonts w:ascii="Times New Roman" w:hAnsi="Times New Roman" w:eastAsia="Times New Roman" w:cs="Times New Roman"/>
          <w:sz w:val="20"/>
        </w:rPr>
        <w:t>The serverless path exposed the application through Amazon API Gateway HTTP API and executed the compute logic in AWS Lambda. The Lambda function used Python 3.12 on x86_64 with 1024 MB of memory, and Terraform managed the related resources. CloudWatch metrics for API Gateway and Lambda were collected separately. This separation makes it possible to distinguish API-layer latency and errors from function-level execution, concurrency, errors, and throttling.</w:t>
      </w:r>
    </w:p>
    <w:p w14:paraId="0DBF22EB">
      <w:pPr>
        <w:spacing w:after="80" w:line="252" w:lineRule="auto"/>
        <w:ind w:firstLine="238"/>
        <w:jc w:val="both"/>
      </w:pPr>
      <w:r>
        <w:rPr>
          <w:rFonts w:ascii="Times New Roman" w:hAnsi="Times New Roman" w:eastAsia="Times New Roman" w:cs="Times New Roman"/>
          <w:sz w:val="20"/>
        </w:rPr>
        <w:t>AWS defines Lambda concurrency as the number of simultaneous in-flight function invocations, and functions can be throttled when the available account concurrency is exhausted [10]. During this experiment, the account exposed a regional concurrency quota of 10. That unusually low quota affected some higher-load runs and is treated throughout the paper as a constraint of the experimental account, not as the normal Lambda service limit.</w:t>
      </w:r>
    </w:p>
    <w:p w14:paraId="13D05533">
      <w:pPr>
        <w:pStyle w:val="3"/>
      </w:pPr>
      <w:r>
        <w:rPr>
          <w:rFonts w:ascii="Times New Roman" w:hAnsi="Times New Roman" w:eastAsia="Times New Roman" w:cs="Times New Roman"/>
          <w:sz w:val="22"/>
        </w:rPr>
        <w:t>3.4 Identical Computation</w:t>
      </w:r>
    </w:p>
    <w:p w14:paraId="05B9497B">
      <w:pPr>
        <w:spacing w:after="80" w:line="252" w:lineRule="auto"/>
        <w:ind w:firstLine="238"/>
        <w:jc w:val="both"/>
      </w:pPr>
      <w:r>
        <w:rPr>
          <w:rFonts w:ascii="Times New Roman" w:hAnsi="Times New Roman" w:eastAsia="Times New Roman" w:cs="Times New Roman"/>
          <w:sz w:val="20"/>
        </w:rPr>
        <w:t>Both architectures executed the same deterministic CPU-bound routine: 25,000 chained SHA-256 operations (sha256-v1). A lightweight /health endpoint was used for health checks, while /compute triggered the measured computation. Before formal testing, EC2 and Lambda responses were checked to confirm that the same input produced the same deterministic result. Features such as authentication, databases, sessions, and file uploads were intentionally left out so that application complexity would not obscure the infrastructure comparison.</w:t>
      </w:r>
    </w:p>
    <w:p w14:paraId="5042D790">
      <w:pPr>
        <w:pStyle w:val="3"/>
      </w:pPr>
      <w:r>
        <w:rPr>
          <w:rFonts w:ascii="Times New Roman" w:hAnsi="Times New Roman" w:eastAsia="Times New Roman" w:cs="Times New Roman"/>
          <w:sz w:val="22"/>
        </w:rPr>
        <w:t>3.5 Workload Model</w:t>
      </w:r>
    </w:p>
    <w:p w14:paraId="634DE0EB">
      <w:pPr>
        <w:spacing w:after="80" w:line="252" w:lineRule="auto"/>
        <w:ind w:firstLine="238"/>
        <w:jc w:val="both"/>
      </w:pPr>
      <w:r>
        <w:rPr>
          <w:rFonts w:ascii="Times New Roman" w:hAnsi="Times New Roman" w:eastAsia="Times New Roman" w:cs="Times New Roman"/>
          <w:sz w:val="20"/>
        </w:rPr>
        <w:t>Locust 2.46.3 generated the formal workload. The same Locust file was used for EC2 and Serverless, with only the destination host changed. Each virtual user repeatedly called /compute and waited a randomized 0.2–0.5 s after a completed request before issuing the next one. This is a closed-loop virtual-user workload. As a result, requests per second should be read as achieved throughput under the fixed user-concurrency pattern rather than as an independently fixed offered request rate.</w:t>
      </w:r>
    </w:p>
    <w:p w14:paraId="094AE67F">
      <w:pPr>
        <w:keepNext/>
        <w:spacing w:before="80" w:after="60"/>
        <w:jc w:val="center"/>
      </w:pPr>
      <w:r>
        <w:rPr>
          <w:rFonts w:ascii="Times New Roman" w:hAnsi="Times New Roman" w:eastAsia="Times New Roman" w:cs="Times New Roman"/>
          <w:b/>
          <w:sz w:val="20"/>
        </w:rPr>
        <w:t>Table 2. Frozen Formal Workload Definitions</w:t>
      </w:r>
    </w:p>
    <w:tbl>
      <w:tblPr>
        <w:tblStyle w:val="35"/>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644"/>
        <w:gridCol w:w="1644"/>
        <w:gridCol w:w="1644"/>
        <w:gridCol w:w="1644"/>
        <w:gridCol w:w="1644"/>
        <w:gridCol w:w="1644"/>
      </w:tblGrid>
      <w:tr w14:paraId="02D48AF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1644" w:type="dxa"/>
            <w:shd w:val="clear" w:color="auto" w:fill="E7E6E6"/>
            <w:vAlign w:val="center"/>
          </w:tcPr>
          <w:p w14:paraId="22A9C8F1">
            <w:pPr>
              <w:spacing w:before="0" w:after="0" w:line="240" w:lineRule="auto"/>
              <w:jc w:val="left"/>
            </w:pPr>
            <w:r>
              <w:rPr>
                <w:rFonts w:ascii="Times New Roman" w:hAnsi="Times New Roman" w:eastAsia="Times New Roman" w:cs="Times New Roman"/>
                <w:b/>
                <w:sz w:val="20"/>
              </w:rPr>
              <w:t>Workload</w:t>
            </w:r>
          </w:p>
        </w:tc>
        <w:tc>
          <w:tcPr>
            <w:tcW w:w="1644" w:type="dxa"/>
            <w:shd w:val="clear" w:color="auto" w:fill="E7E6E6"/>
            <w:vAlign w:val="center"/>
          </w:tcPr>
          <w:p w14:paraId="4A2A87D7">
            <w:pPr>
              <w:spacing w:before="0" w:after="0" w:line="240" w:lineRule="auto"/>
              <w:jc w:val="left"/>
            </w:pPr>
            <w:r>
              <w:rPr>
                <w:rFonts w:ascii="Times New Roman" w:hAnsi="Times New Roman" w:eastAsia="Times New Roman" w:cs="Times New Roman"/>
                <w:b/>
                <w:sz w:val="20"/>
              </w:rPr>
              <w:t>Definition</w:t>
            </w:r>
          </w:p>
        </w:tc>
        <w:tc>
          <w:tcPr>
            <w:tcW w:w="1644" w:type="dxa"/>
            <w:shd w:val="clear" w:color="auto" w:fill="E7E6E6"/>
            <w:vAlign w:val="center"/>
          </w:tcPr>
          <w:p w14:paraId="09AF4A68">
            <w:pPr>
              <w:spacing w:before="0" w:after="0" w:line="240" w:lineRule="auto"/>
              <w:jc w:val="center"/>
            </w:pPr>
            <w:r>
              <w:rPr>
                <w:rFonts w:ascii="Times New Roman" w:hAnsi="Times New Roman" w:eastAsia="Times New Roman" w:cs="Times New Roman"/>
                <w:b/>
                <w:sz w:val="20"/>
              </w:rPr>
              <w:t>Concurrent users</w:t>
            </w:r>
          </w:p>
        </w:tc>
        <w:tc>
          <w:tcPr>
            <w:tcW w:w="1644" w:type="dxa"/>
            <w:shd w:val="clear" w:color="auto" w:fill="E7E6E6"/>
            <w:vAlign w:val="center"/>
          </w:tcPr>
          <w:p w14:paraId="6244F144">
            <w:pPr>
              <w:spacing w:before="0" w:after="0" w:line="240" w:lineRule="auto"/>
              <w:jc w:val="center"/>
            </w:pPr>
            <w:r>
              <w:rPr>
                <w:rFonts w:ascii="Times New Roman" w:hAnsi="Times New Roman" w:eastAsia="Times New Roman" w:cs="Times New Roman"/>
                <w:b/>
                <w:sz w:val="20"/>
              </w:rPr>
              <w:t>Spawn rate (users/s)</w:t>
            </w:r>
          </w:p>
        </w:tc>
        <w:tc>
          <w:tcPr>
            <w:tcW w:w="1644" w:type="dxa"/>
            <w:shd w:val="clear" w:color="auto" w:fill="E7E6E6"/>
            <w:vAlign w:val="center"/>
          </w:tcPr>
          <w:p w14:paraId="729CF3F6">
            <w:pPr>
              <w:spacing w:before="0" w:after="0" w:line="240" w:lineRule="auto"/>
              <w:jc w:val="center"/>
            </w:pPr>
            <w:r>
              <w:rPr>
                <w:rFonts w:ascii="Times New Roman" w:hAnsi="Times New Roman" w:eastAsia="Times New Roman" w:cs="Times New Roman"/>
                <w:b/>
                <w:sz w:val="20"/>
              </w:rPr>
              <w:t>Load duration (s)</w:t>
            </w:r>
          </w:p>
        </w:tc>
        <w:tc>
          <w:tcPr>
            <w:tcW w:w="1644" w:type="dxa"/>
            <w:shd w:val="clear" w:color="auto" w:fill="E7E6E6"/>
            <w:vAlign w:val="center"/>
          </w:tcPr>
          <w:p w14:paraId="02359DCF">
            <w:pPr>
              <w:spacing w:before="0" w:after="0" w:line="240" w:lineRule="auto"/>
              <w:jc w:val="center"/>
            </w:pPr>
            <w:r>
              <w:rPr>
                <w:rFonts w:ascii="Times New Roman" w:hAnsi="Times New Roman" w:eastAsia="Times New Roman" w:cs="Times New Roman"/>
                <w:b/>
                <w:sz w:val="20"/>
              </w:rPr>
              <w:t>Pre-load idle (s)</w:t>
            </w:r>
          </w:p>
        </w:tc>
      </w:tr>
      <w:tr w14:paraId="3E4B134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44" w:type="dxa"/>
            <w:vAlign w:val="center"/>
          </w:tcPr>
          <w:p w14:paraId="44F22F7C">
            <w:pPr>
              <w:spacing w:before="0" w:after="0" w:line="240" w:lineRule="auto"/>
              <w:jc w:val="left"/>
            </w:pPr>
            <w:r>
              <w:rPr>
                <w:rFonts w:ascii="Times New Roman" w:hAnsi="Times New Roman" w:eastAsia="Times New Roman" w:cs="Times New Roman"/>
                <w:b w:val="0"/>
                <w:sz w:val="20"/>
              </w:rPr>
              <w:t>W01</w:t>
            </w:r>
          </w:p>
        </w:tc>
        <w:tc>
          <w:tcPr>
            <w:tcW w:w="1644" w:type="dxa"/>
            <w:vAlign w:val="center"/>
          </w:tcPr>
          <w:p w14:paraId="4F3D28A9">
            <w:pPr>
              <w:spacing w:before="0" w:after="0" w:line="240" w:lineRule="auto"/>
              <w:jc w:val="left"/>
            </w:pPr>
            <w:r>
              <w:rPr>
                <w:rFonts w:ascii="Times New Roman" w:hAnsi="Times New Roman" w:eastAsia="Times New Roman" w:cs="Times New Roman"/>
                <w:b w:val="0"/>
                <w:sz w:val="20"/>
              </w:rPr>
              <w:t>Low</w:t>
            </w:r>
          </w:p>
        </w:tc>
        <w:tc>
          <w:tcPr>
            <w:tcW w:w="1644" w:type="dxa"/>
            <w:vAlign w:val="center"/>
          </w:tcPr>
          <w:p w14:paraId="3CFE2C48">
            <w:pPr>
              <w:spacing w:before="0" w:after="0" w:line="240" w:lineRule="auto"/>
              <w:jc w:val="center"/>
            </w:pPr>
            <w:r>
              <w:rPr>
                <w:rFonts w:ascii="Times New Roman" w:hAnsi="Times New Roman" w:eastAsia="Times New Roman" w:cs="Times New Roman"/>
                <w:b w:val="0"/>
                <w:sz w:val="20"/>
              </w:rPr>
              <w:t>5</w:t>
            </w:r>
          </w:p>
        </w:tc>
        <w:tc>
          <w:tcPr>
            <w:tcW w:w="1644" w:type="dxa"/>
            <w:vAlign w:val="center"/>
          </w:tcPr>
          <w:p w14:paraId="115FDB7A">
            <w:pPr>
              <w:spacing w:before="0" w:after="0" w:line="240" w:lineRule="auto"/>
              <w:jc w:val="center"/>
            </w:pPr>
            <w:r>
              <w:rPr>
                <w:rFonts w:ascii="Times New Roman" w:hAnsi="Times New Roman" w:eastAsia="Times New Roman" w:cs="Times New Roman"/>
                <w:b w:val="0"/>
                <w:sz w:val="20"/>
              </w:rPr>
              <w:t>1</w:t>
            </w:r>
          </w:p>
        </w:tc>
        <w:tc>
          <w:tcPr>
            <w:tcW w:w="1644" w:type="dxa"/>
            <w:vAlign w:val="center"/>
          </w:tcPr>
          <w:p w14:paraId="3ACF220A">
            <w:pPr>
              <w:spacing w:before="0" w:after="0" w:line="240" w:lineRule="auto"/>
              <w:jc w:val="center"/>
            </w:pPr>
            <w:r>
              <w:rPr>
                <w:rFonts w:ascii="Times New Roman" w:hAnsi="Times New Roman" w:eastAsia="Times New Roman" w:cs="Times New Roman"/>
                <w:b w:val="0"/>
                <w:sz w:val="20"/>
              </w:rPr>
              <w:t>60</w:t>
            </w:r>
          </w:p>
        </w:tc>
        <w:tc>
          <w:tcPr>
            <w:tcW w:w="1644" w:type="dxa"/>
            <w:vAlign w:val="center"/>
          </w:tcPr>
          <w:p w14:paraId="0A41B4BD">
            <w:pPr>
              <w:spacing w:before="0" w:after="0" w:line="240" w:lineRule="auto"/>
              <w:jc w:val="center"/>
            </w:pPr>
            <w:r>
              <w:rPr>
                <w:rFonts w:ascii="Times New Roman" w:hAnsi="Times New Roman" w:eastAsia="Times New Roman" w:cs="Times New Roman"/>
                <w:b w:val="0"/>
                <w:sz w:val="20"/>
              </w:rPr>
              <w:t>0</w:t>
            </w:r>
          </w:p>
        </w:tc>
      </w:tr>
      <w:tr w14:paraId="53C26C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44" w:type="dxa"/>
            <w:shd w:val="clear" w:color="auto" w:fill="F7F7F7"/>
            <w:vAlign w:val="center"/>
          </w:tcPr>
          <w:p w14:paraId="26CE5589">
            <w:pPr>
              <w:spacing w:before="0" w:after="0" w:line="240" w:lineRule="auto"/>
              <w:jc w:val="left"/>
            </w:pPr>
            <w:r>
              <w:rPr>
                <w:rFonts w:ascii="Times New Roman" w:hAnsi="Times New Roman" w:eastAsia="Times New Roman" w:cs="Times New Roman"/>
                <w:b w:val="0"/>
                <w:sz w:val="20"/>
              </w:rPr>
              <w:t>W02</w:t>
            </w:r>
          </w:p>
        </w:tc>
        <w:tc>
          <w:tcPr>
            <w:tcW w:w="1644" w:type="dxa"/>
            <w:shd w:val="clear" w:color="auto" w:fill="F7F7F7"/>
            <w:vAlign w:val="center"/>
          </w:tcPr>
          <w:p w14:paraId="3DA48B79">
            <w:pPr>
              <w:spacing w:before="0" w:after="0" w:line="240" w:lineRule="auto"/>
              <w:jc w:val="left"/>
            </w:pPr>
            <w:r>
              <w:rPr>
                <w:rFonts w:ascii="Times New Roman" w:hAnsi="Times New Roman" w:eastAsia="Times New Roman" w:cs="Times New Roman"/>
                <w:b w:val="0"/>
                <w:sz w:val="20"/>
              </w:rPr>
              <w:t>Moderate</w:t>
            </w:r>
          </w:p>
        </w:tc>
        <w:tc>
          <w:tcPr>
            <w:tcW w:w="1644" w:type="dxa"/>
            <w:shd w:val="clear" w:color="auto" w:fill="F7F7F7"/>
            <w:vAlign w:val="center"/>
          </w:tcPr>
          <w:p w14:paraId="50EC6334">
            <w:pPr>
              <w:spacing w:before="0" w:after="0" w:line="240" w:lineRule="auto"/>
              <w:jc w:val="center"/>
            </w:pPr>
            <w:r>
              <w:rPr>
                <w:rFonts w:ascii="Times New Roman" w:hAnsi="Times New Roman" w:eastAsia="Times New Roman" w:cs="Times New Roman"/>
                <w:b w:val="0"/>
                <w:sz w:val="20"/>
              </w:rPr>
              <w:t>15</w:t>
            </w:r>
          </w:p>
        </w:tc>
        <w:tc>
          <w:tcPr>
            <w:tcW w:w="1644" w:type="dxa"/>
            <w:shd w:val="clear" w:color="auto" w:fill="F7F7F7"/>
            <w:vAlign w:val="center"/>
          </w:tcPr>
          <w:p w14:paraId="3889531B">
            <w:pPr>
              <w:spacing w:before="0" w:after="0" w:line="240" w:lineRule="auto"/>
              <w:jc w:val="center"/>
            </w:pPr>
            <w:r>
              <w:rPr>
                <w:rFonts w:ascii="Times New Roman" w:hAnsi="Times New Roman" w:eastAsia="Times New Roman" w:cs="Times New Roman"/>
                <w:b w:val="0"/>
                <w:sz w:val="20"/>
              </w:rPr>
              <w:t>3</w:t>
            </w:r>
          </w:p>
        </w:tc>
        <w:tc>
          <w:tcPr>
            <w:tcW w:w="1644" w:type="dxa"/>
            <w:shd w:val="clear" w:color="auto" w:fill="F7F7F7"/>
            <w:vAlign w:val="center"/>
          </w:tcPr>
          <w:p w14:paraId="58A05316">
            <w:pPr>
              <w:spacing w:before="0" w:after="0" w:line="240" w:lineRule="auto"/>
              <w:jc w:val="center"/>
            </w:pPr>
            <w:r>
              <w:rPr>
                <w:rFonts w:ascii="Times New Roman" w:hAnsi="Times New Roman" w:eastAsia="Times New Roman" w:cs="Times New Roman"/>
                <w:b w:val="0"/>
                <w:sz w:val="20"/>
              </w:rPr>
              <w:t>60</w:t>
            </w:r>
          </w:p>
        </w:tc>
        <w:tc>
          <w:tcPr>
            <w:tcW w:w="1644" w:type="dxa"/>
            <w:shd w:val="clear" w:color="auto" w:fill="F7F7F7"/>
            <w:vAlign w:val="center"/>
          </w:tcPr>
          <w:p w14:paraId="1E9C5373">
            <w:pPr>
              <w:spacing w:before="0" w:after="0" w:line="240" w:lineRule="auto"/>
              <w:jc w:val="center"/>
            </w:pPr>
            <w:r>
              <w:rPr>
                <w:rFonts w:ascii="Times New Roman" w:hAnsi="Times New Roman" w:eastAsia="Times New Roman" w:cs="Times New Roman"/>
                <w:b w:val="0"/>
                <w:sz w:val="20"/>
              </w:rPr>
              <w:t>0</w:t>
            </w:r>
          </w:p>
        </w:tc>
      </w:tr>
      <w:tr w14:paraId="665B6A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44" w:type="dxa"/>
            <w:vAlign w:val="center"/>
          </w:tcPr>
          <w:p w14:paraId="58E2F299">
            <w:pPr>
              <w:spacing w:before="0" w:after="0" w:line="240" w:lineRule="auto"/>
              <w:jc w:val="left"/>
            </w:pPr>
            <w:r>
              <w:rPr>
                <w:rFonts w:ascii="Times New Roman" w:hAnsi="Times New Roman" w:eastAsia="Times New Roman" w:cs="Times New Roman"/>
                <w:b w:val="0"/>
                <w:sz w:val="20"/>
              </w:rPr>
              <w:t>W03</w:t>
            </w:r>
          </w:p>
        </w:tc>
        <w:tc>
          <w:tcPr>
            <w:tcW w:w="1644" w:type="dxa"/>
            <w:vAlign w:val="center"/>
          </w:tcPr>
          <w:p w14:paraId="00E3465A">
            <w:pPr>
              <w:spacing w:before="0" w:after="0" w:line="240" w:lineRule="auto"/>
              <w:jc w:val="left"/>
            </w:pPr>
            <w:r>
              <w:rPr>
                <w:rFonts w:ascii="Times New Roman" w:hAnsi="Times New Roman" w:eastAsia="Times New Roman" w:cs="Times New Roman"/>
                <w:b w:val="0"/>
                <w:sz w:val="20"/>
              </w:rPr>
              <w:t>High</w:t>
            </w:r>
          </w:p>
        </w:tc>
        <w:tc>
          <w:tcPr>
            <w:tcW w:w="1644" w:type="dxa"/>
            <w:vAlign w:val="center"/>
          </w:tcPr>
          <w:p w14:paraId="51BFB0FB">
            <w:pPr>
              <w:spacing w:before="0" w:after="0" w:line="240" w:lineRule="auto"/>
              <w:jc w:val="center"/>
            </w:pPr>
            <w:r>
              <w:rPr>
                <w:rFonts w:ascii="Times New Roman" w:hAnsi="Times New Roman" w:eastAsia="Times New Roman" w:cs="Times New Roman"/>
                <w:b w:val="0"/>
                <w:sz w:val="20"/>
              </w:rPr>
              <w:t>30</w:t>
            </w:r>
          </w:p>
        </w:tc>
        <w:tc>
          <w:tcPr>
            <w:tcW w:w="1644" w:type="dxa"/>
            <w:vAlign w:val="center"/>
          </w:tcPr>
          <w:p w14:paraId="59BC050A">
            <w:pPr>
              <w:spacing w:before="0" w:after="0" w:line="240" w:lineRule="auto"/>
              <w:jc w:val="center"/>
            </w:pPr>
            <w:r>
              <w:rPr>
                <w:rFonts w:ascii="Times New Roman" w:hAnsi="Times New Roman" w:eastAsia="Times New Roman" w:cs="Times New Roman"/>
                <w:b w:val="0"/>
                <w:sz w:val="20"/>
              </w:rPr>
              <w:t>5</w:t>
            </w:r>
          </w:p>
        </w:tc>
        <w:tc>
          <w:tcPr>
            <w:tcW w:w="1644" w:type="dxa"/>
            <w:vAlign w:val="center"/>
          </w:tcPr>
          <w:p w14:paraId="1234D388">
            <w:pPr>
              <w:spacing w:before="0" w:after="0" w:line="240" w:lineRule="auto"/>
              <w:jc w:val="center"/>
            </w:pPr>
            <w:r>
              <w:rPr>
                <w:rFonts w:ascii="Times New Roman" w:hAnsi="Times New Roman" w:eastAsia="Times New Roman" w:cs="Times New Roman"/>
                <w:b w:val="0"/>
                <w:sz w:val="20"/>
              </w:rPr>
              <w:t>60</w:t>
            </w:r>
          </w:p>
        </w:tc>
        <w:tc>
          <w:tcPr>
            <w:tcW w:w="1644" w:type="dxa"/>
            <w:vAlign w:val="center"/>
          </w:tcPr>
          <w:p w14:paraId="2696CEE5">
            <w:pPr>
              <w:spacing w:before="0" w:after="0" w:line="240" w:lineRule="auto"/>
              <w:jc w:val="center"/>
            </w:pPr>
            <w:r>
              <w:rPr>
                <w:rFonts w:ascii="Times New Roman" w:hAnsi="Times New Roman" w:eastAsia="Times New Roman" w:cs="Times New Roman"/>
                <w:b w:val="0"/>
                <w:sz w:val="20"/>
              </w:rPr>
              <w:t>0</w:t>
            </w:r>
          </w:p>
        </w:tc>
      </w:tr>
      <w:tr w14:paraId="60A1932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44" w:type="dxa"/>
            <w:shd w:val="clear" w:color="auto" w:fill="F7F7F7"/>
            <w:vAlign w:val="center"/>
          </w:tcPr>
          <w:p w14:paraId="3B7D38DF">
            <w:pPr>
              <w:spacing w:before="0" w:after="0" w:line="240" w:lineRule="auto"/>
              <w:jc w:val="left"/>
            </w:pPr>
            <w:r>
              <w:rPr>
                <w:rFonts w:ascii="Times New Roman" w:hAnsi="Times New Roman" w:eastAsia="Times New Roman" w:cs="Times New Roman"/>
                <w:b w:val="0"/>
                <w:sz w:val="20"/>
              </w:rPr>
              <w:t>W04</w:t>
            </w:r>
          </w:p>
        </w:tc>
        <w:tc>
          <w:tcPr>
            <w:tcW w:w="1644" w:type="dxa"/>
            <w:shd w:val="clear" w:color="auto" w:fill="F7F7F7"/>
            <w:vAlign w:val="center"/>
          </w:tcPr>
          <w:p w14:paraId="508440DF">
            <w:pPr>
              <w:spacing w:before="0" w:after="0" w:line="240" w:lineRule="auto"/>
              <w:jc w:val="left"/>
            </w:pPr>
            <w:r>
              <w:rPr>
                <w:rFonts w:ascii="Times New Roman" w:hAnsi="Times New Roman" w:eastAsia="Times New Roman" w:cs="Times New Roman"/>
                <w:b w:val="0"/>
                <w:sz w:val="20"/>
              </w:rPr>
              <w:t>Sudden-Burst</w:t>
            </w:r>
          </w:p>
        </w:tc>
        <w:tc>
          <w:tcPr>
            <w:tcW w:w="1644" w:type="dxa"/>
            <w:shd w:val="clear" w:color="auto" w:fill="F7F7F7"/>
            <w:vAlign w:val="center"/>
          </w:tcPr>
          <w:p w14:paraId="61D23B60">
            <w:pPr>
              <w:spacing w:before="0" w:after="0" w:line="240" w:lineRule="auto"/>
              <w:jc w:val="center"/>
            </w:pPr>
            <w:r>
              <w:rPr>
                <w:rFonts w:ascii="Times New Roman" w:hAnsi="Times New Roman" w:eastAsia="Times New Roman" w:cs="Times New Roman"/>
                <w:b w:val="0"/>
                <w:sz w:val="20"/>
              </w:rPr>
              <w:t>30</w:t>
            </w:r>
          </w:p>
        </w:tc>
        <w:tc>
          <w:tcPr>
            <w:tcW w:w="1644" w:type="dxa"/>
            <w:shd w:val="clear" w:color="auto" w:fill="F7F7F7"/>
            <w:vAlign w:val="center"/>
          </w:tcPr>
          <w:p w14:paraId="4C96B0E7">
            <w:pPr>
              <w:spacing w:before="0" w:after="0" w:line="240" w:lineRule="auto"/>
              <w:jc w:val="center"/>
            </w:pPr>
            <w:r>
              <w:rPr>
                <w:rFonts w:ascii="Times New Roman" w:hAnsi="Times New Roman" w:eastAsia="Times New Roman" w:cs="Times New Roman"/>
                <w:b w:val="0"/>
                <w:sz w:val="20"/>
              </w:rPr>
              <w:t>30</w:t>
            </w:r>
          </w:p>
        </w:tc>
        <w:tc>
          <w:tcPr>
            <w:tcW w:w="1644" w:type="dxa"/>
            <w:shd w:val="clear" w:color="auto" w:fill="F7F7F7"/>
            <w:vAlign w:val="center"/>
          </w:tcPr>
          <w:p w14:paraId="0E6CA655">
            <w:pPr>
              <w:spacing w:before="0" w:after="0" w:line="240" w:lineRule="auto"/>
              <w:jc w:val="center"/>
            </w:pPr>
            <w:r>
              <w:rPr>
                <w:rFonts w:ascii="Times New Roman" w:hAnsi="Times New Roman" w:eastAsia="Times New Roman" w:cs="Times New Roman"/>
                <w:b w:val="0"/>
                <w:sz w:val="20"/>
              </w:rPr>
              <w:t>60</w:t>
            </w:r>
          </w:p>
        </w:tc>
        <w:tc>
          <w:tcPr>
            <w:tcW w:w="1644" w:type="dxa"/>
            <w:shd w:val="clear" w:color="auto" w:fill="F7F7F7"/>
            <w:vAlign w:val="center"/>
          </w:tcPr>
          <w:p w14:paraId="675A02FB">
            <w:pPr>
              <w:spacing w:before="0" w:after="0" w:line="240" w:lineRule="auto"/>
              <w:jc w:val="center"/>
            </w:pPr>
            <w:r>
              <w:rPr>
                <w:rFonts w:ascii="Times New Roman" w:hAnsi="Times New Roman" w:eastAsia="Times New Roman" w:cs="Times New Roman"/>
                <w:b w:val="0"/>
                <w:sz w:val="20"/>
              </w:rPr>
              <w:t>0</w:t>
            </w:r>
          </w:p>
        </w:tc>
      </w:tr>
      <w:tr w14:paraId="33272F1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44" w:type="dxa"/>
            <w:vAlign w:val="center"/>
          </w:tcPr>
          <w:p w14:paraId="22AC6D50">
            <w:pPr>
              <w:spacing w:before="0" w:after="0" w:line="240" w:lineRule="auto"/>
              <w:jc w:val="left"/>
            </w:pPr>
            <w:r>
              <w:rPr>
                <w:rFonts w:ascii="Times New Roman" w:hAnsi="Times New Roman" w:eastAsia="Times New Roman" w:cs="Times New Roman"/>
                <w:b w:val="0"/>
                <w:sz w:val="20"/>
              </w:rPr>
              <w:t>W05</w:t>
            </w:r>
          </w:p>
        </w:tc>
        <w:tc>
          <w:tcPr>
            <w:tcW w:w="1644" w:type="dxa"/>
            <w:vAlign w:val="center"/>
          </w:tcPr>
          <w:p w14:paraId="0CF5DB83">
            <w:pPr>
              <w:spacing w:before="0" w:after="0" w:line="240" w:lineRule="auto"/>
              <w:jc w:val="left"/>
            </w:pPr>
            <w:r>
              <w:rPr>
                <w:rFonts w:ascii="Times New Roman" w:hAnsi="Times New Roman" w:eastAsia="Times New Roman" w:cs="Times New Roman"/>
                <w:b w:val="0"/>
                <w:sz w:val="20"/>
              </w:rPr>
              <w:t>Idle-to-Burst</w:t>
            </w:r>
          </w:p>
        </w:tc>
        <w:tc>
          <w:tcPr>
            <w:tcW w:w="1644" w:type="dxa"/>
            <w:vAlign w:val="center"/>
          </w:tcPr>
          <w:p w14:paraId="492E853C">
            <w:pPr>
              <w:spacing w:before="0" w:after="0" w:line="240" w:lineRule="auto"/>
              <w:jc w:val="center"/>
            </w:pPr>
            <w:r>
              <w:rPr>
                <w:rFonts w:ascii="Times New Roman" w:hAnsi="Times New Roman" w:eastAsia="Times New Roman" w:cs="Times New Roman"/>
                <w:b w:val="0"/>
                <w:sz w:val="20"/>
              </w:rPr>
              <w:t>30</w:t>
            </w:r>
          </w:p>
        </w:tc>
        <w:tc>
          <w:tcPr>
            <w:tcW w:w="1644" w:type="dxa"/>
            <w:vAlign w:val="center"/>
          </w:tcPr>
          <w:p w14:paraId="3DE9BF12">
            <w:pPr>
              <w:spacing w:before="0" w:after="0" w:line="240" w:lineRule="auto"/>
              <w:jc w:val="center"/>
            </w:pPr>
            <w:r>
              <w:rPr>
                <w:rFonts w:ascii="Times New Roman" w:hAnsi="Times New Roman" w:eastAsia="Times New Roman" w:cs="Times New Roman"/>
                <w:b w:val="0"/>
                <w:sz w:val="20"/>
              </w:rPr>
              <w:t>30</w:t>
            </w:r>
          </w:p>
        </w:tc>
        <w:tc>
          <w:tcPr>
            <w:tcW w:w="1644" w:type="dxa"/>
            <w:vAlign w:val="center"/>
          </w:tcPr>
          <w:p w14:paraId="25FAA241">
            <w:pPr>
              <w:spacing w:before="0" w:after="0" w:line="240" w:lineRule="auto"/>
              <w:jc w:val="center"/>
            </w:pPr>
            <w:r>
              <w:rPr>
                <w:rFonts w:ascii="Times New Roman" w:hAnsi="Times New Roman" w:eastAsia="Times New Roman" w:cs="Times New Roman"/>
                <w:b w:val="0"/>
                <w:sz w:val="20"/>
              </w:rPr>
              <w:t>60</w:t>
            </w:r>
          </w:p>
        </w:tc>
        <w:tc>
          <w:tcPr>
            <w:tcW w:w="1644" w:type="dxa"/>
            <w:vAlign w:val="center"/>
          </w:tcPr>
          <w:p w14:paraId="506FBAB0">
            <w:pPr>
              <w:spacing w:before="0" w:after="0" w:line="240" w:lineRule="auto"/>
              <w:jc w:val="center"/>
            </w:pPr>
            <w:r>
              <w:rPr>
                <w:rFonts w:ascii="Times New Roman" w:hAnsi="Times New Roman" w:eastAsia="Times New Roman" w:cs="Times New Roman"/>
                <w:b w:val="0"/>
                <w:sz w:val="20"/>
              </w:rPr>
              <w:t>300</w:t>
            </w:r>
          </w:p>
        </w:tc>
      </w:tr>
      <w:tr w14:paraId="7EA234F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44" w:type="dxa"/>
            <w:shd w:val="clear" w:color="auto" w:fill="F7F7F7"/>
            <w:vAlign w:val="center"/>
          </w:tcPr>
          <w:p w14:paraId="770381D4">
            <w:pPr>
              <w:spacing w:before="0" w:after="0" w:line="240" w:lineRule="auto"/>
              <w:jc w:val="left"/>
            </w:pPr>
            <w:r>
              <w:rPr>
                <w:rFonts w:ascii="Times New Roman" w:hAnsi="Times New Roman" w:eastAsia="Times New Roman" w:cs="Times New Roman"/>
                <w:b w:val="0"/>
                <w:sz w:val="20"/>
              </w:rPr>
              <w:t>W06</w:t>
            </w:r>
          </w:p>
        </w:tc>
        <w:tc>
          <w:tcPr>
            <w:tcW w:w="1644" w:type="dxa"/>
            <w:shd w:val="clear" w:color="auto" w:fill="F7F7F7"/>
            <w:vAlign w:val="center"/>
          </w:tcPr>
          <w:p w14:paraId="42D708FC">
            <w:pPr>
              <w:spacing w:before="0" w:after="0" w:line="240" w:lineRule="auto"/>
              <w:jc w:val="left"/>
            </w:pPr>
            <w:r>
              <w:rPr>
                <w:rFonts w:ascii="Times New Roman" w:hAnsi="Times New Roman" w:eastAsia="Times New Roman" w:cs="Times New Roman"/>
                <w:b w:val="0"/>
                <w:sz w:val="20"/>
              </w:rPr>
              <w:t>Sustained</w:t>
            </w:r>
          </w:p>
        </w:tc>
        <w:tc>
          <w:tcPr>
            <w:tcW w:w="1644" w:type="dxa"/>
            <w:shd w:val="clear" w:color="auto" w:fill="F7F7F7"/>
            <w:vAlign w:val="center"/>
          </w:tcPr>
          <w:p w14:paraId="47525E91">
            <w:pPr>
              <w:spacing w:before="0" w:after="0" w:line="240" w:lineRule="auto"/>
              <w:jc w:val="center"/>
            </w:pPr>
            <w:r>
              <w:rPr>
                <w:rFonts w:ascii="Times New Roman" w:hAnsi="Times New Roman" w:eastAsia="Times New Roman" w:cs="Times New Roman"/>
                <w:b w:val="0"/>
                <w:sz w:val="20"/>
              </w:rPr>
              <w:t>20</w:t>
            </w:r>
          </w:p>
        </w:tc>
        <w:tc>
          <w:tcPr>
            <w:tcW w:w="1644" w:type="dxa"/>
            <w:shd w:val="clear" w:color="auto" w:fill="F7F7F7"/>
            <w:vAlign w:val="center"/>
          </w:tcPr>
          <w:p w14:paraId="1BAAF1CA">
            <w:pPr>
              <w:spacing w:before="0" w:after="0" w:line="240" w:lineRule="auto"/>
              <w:jc w:val="center"/>
            </w:pPr>
            <w:r>
              <w:rPr>
                <w:rFonts w:ascii="Times New Roman" w:hAnsi="Times New Roman" w:eastAsia="Times New Roman" w:cs="Times New Roman"/>
                <w:b w:val="0"/>
                <w:sz w:val="20"/>
              </w:rPr>
              <w:t>4</w:t>
            </w:r>
          </w:p>
        </w:tc>
        <w:tc>
          <w:tcPr>
            <w:tcW w:w="1644" w:type="dxa"/>
            <w:shd w:val="clear" w:color="auto" w:fill="F7F7F7"/>
            <w:vAlign w:val="center"/>
          </w:tcPr>
          <w:p w14:paraId="4DBC1629">
            <w:pPr>
              <w:spacing w:before="0" w:after="0" w:line="240" w:lineRule="auto"/>
              <w:jc w:val="center"/>
            </w:pPr>
            <w:r>
              <w:rPr>
                <w:rFonts w:ascii="Times New Roman" w:hAnsi="Times New Roman" w:eastAsia="Times New Roman" w:cs="Times New Roman"/>
                <w:b w:val="0"/>
                <w:sz w:val="20"/>
              </w:rPr>
              <w:t>300</w:t>
            </w:r>
          </w:p>
        </w:tc>
        <w:tc>
          <w:tcPr>
            <w:tcW w:w="1644" w:type="dxa"/>
            <w:shd w:val="clear" w:color="auto" w:fill="F7F7F7"/>
            <w:vAlign w:val="center"/>
          </w:tcPr>
          <w:p w14:paraId="72298011">
            <w:pPr>
              <w:spacing w:before="0" w:after="0" w:line="240" w:lineRule="auto"/>
              <w:jc w:val="center"/>
            </w:pPr>
            <w:r>
              <w:rPr>
                <w:rFonts w:ascii="Times New Roman" w:hAnsi="Times New Roman" w:eastAsia="Times New Roman" w:cs="Times New Roman"/>
                <w:b w:val="0"/>
                <w:sz w:val="20"/>
              </w:rPr>
              <w:t>0</w:t>
            </w:r>
          </w:p>
        </w:tc>
      </w:tr>
    </w:tbl>
    <w:p w14:paraId="47553E98">
      <w:pPr>
        <w:spacing w:before="40" w:after="120"/>
      </w:pPr>
      <w:r>
        <w:rPr>
          <w:rFonts w:ascii="Times New Roman" w:hAnsi="Times New Roman" w:eastAsia="Times New Roman" w:cs="Times New Roman"/>
          <w:i/>
          <w:sz w:val="18"/>
        </w:rPr>
        <w:t>Note: W05 includes a 300-second idle period before the 60-second burst.</w:t>
      </w:r>
    </w:p>
    <w:p w14:paraId="48F44403">
      <w:pPr>
        <w:spacing w:after="80" w:line="252" w:lineRule="auto"/>
        <w:ind w:firstLine="238"/>
        <w:jc w:val="both"/>
      </w:pPr>
      <w:r>
        <w:rPr>
          <w:rFonts w:ascii="Times New Roman" w:hAnsi="Times New Roman" w:eastAsia="Times New Roman" w:cs="Times New Roman"/>
          <w:sz w:val="20"/>
        </w:rPr>
        <w:t>The six profiles were chosen to expose different traffic patterns. W01 represents light demand; W02 increases concurrency gradually; W03 pushes the same pattern further; W04 introduces an abrupt 30-user burst; W05 repeats that burst after a 300-second idle period; and W06 holds 20 users for five minutes. W05 is deliberately described as idle-to-burst rather than as a guaranteed cold-start test because AWS may retain and reuse a Lambda execution environment after an idle interval [11].</w:t>
      </w:r>
    </w:p>
    <w:p w14:paraId="4733612A">
      <w:pPr>
        <w:pStyle w:val="3"/>
      </w:pPr>
      <w:r>
        <w:rPr>
          <w:rFonts w:ascii="Times New Roman" w:hAnsi="Times New Roman" w:eastAsia="Times New Roman" w:cs="Times New Roman"/>
          <w:sz w:val="22"/>
        </w:rPr>
        <w:t>3.6 Pilot Calibration</w:t>
      </w:r>
    </w:p>
    <w:p w14:paraId="2D0977D5">
      <w:pPr>
        <w:spacing w:after="80" w:line="252" w:lineRule="auto"/>
        <w:ind w:firstLine="238"/>
        <w:jc w:val="both"/>
      </w:pPr>
      <w:r>
        <w:rPr>
          <w:rFonts w:ascii="Times New Roman" w:hAnsi="Times New Roman" w:eastAsia="Times New Roman" w:cs="Times New Roman"/>
          <w:sz w:val="20"/>
        </w:rPr>
        <w:t>Pilot runs were used before the formal experiment to check instrumentation and to calibrate the workload intensity. These runs were stored separately and were not included in the formal figures or statistical summaries. The original sudden-burst pilot used 50 users spawned at 50 users/s for 60 s. On the serverless path, it produced 405 HTTP 503 failures while Lambda concurrency reached the account quota of 10. That pilot was kept as calibration evidence, and the formal W04 workload was set to 30 users with a 30 users/s spawn rate.</w:t>
      </w:r>
    </w:p>
    <w:p w14:paraId="44142C42">
      <w:pPr>
        <w:spacing w:after="80" w:line="252" w:lineRule="auto"/>
        <w:ind w:firstLine="238"/>
        <w:jc w:val="both"/>
      </w:pPr>
      <w:r>
        <w:rPr>
          <w:rFonts w:ascii="Times New Roman" w:hAnsi="Times New Roman" w:eastAsia="Times New Roman" w:cs="Times New Roman"/>
          <w:sz w:val="20"/>
        </w:rPr>
        <w:t>Reducing the formal burst intensity was not intended to remove an unfavorable serverless result. The quota-bound pilot remains part of the preserved evidence and is discussed as an environmental limitation. The adjustment was made so that the six formal workload profiles could be repeated consistently while still recording failures that occurred under the accepted test conditions.</w:t>
      </w:r>
    </w:p>
    <w:p w14:paraId="22EC1F87">
      <w:pPr>
        <w:pStyle w:val="3"/>
      </w:pPr>
      <w:r>
        <w:rPr>
          <w:rFonts w:ascii="Times New Roman" w:hAnsi="Times New Roman" w:eastAsia="Times New Roman" w:cs="Times New Roman"/>
          <w:sz w:val="22"/>
        </w:rPr>
        <w:t>3.7 Formal Experiment Design</w:t>
      </w:r>
    </w:p>
    <w:p w14:paraId="56D5A1C0">
      <w:pPr>
        <w:spacing w:after="80" w:line="252" w:lineRule="auto"/>
        <w:ind w:firstLine="238"/>
        <w:jc w:val="both"/>
      </w:pPr>
      <w:r>
        <w:rPr>
          <w:rFonts w:ascii="Times New Roman" w:hAnsi="Times New Roman" w:eastAsia="Times New Roman" w:cs="Times New Roman"/>
          <w:sz w:val="20"/>
        </w:rPr>
        <w:t>Each workload was executed three times on EC2 and three times on Serverless, for a total of 36 formal trials. Trial identifiers used the EC2-Wxx-Tyy and SVL-Wxx-Tyy patterns. The runner recorded UTC start and end times, workload parameters, Locust statistics, failures, exceptions, and the relevant application and Terraform commits. Instrumentation attempts that were invalid were archived separately rather than being silently replaced. A completeness audit later verified all 36 unique trial identifiers and generated a SHA-256 manifest for the retained raw artifacts.</w:t>
      </w:r>
    </w:p>
    <w:p w14:paraId="0EBBB888">
      <w:pPr>
        <w:pStyle w:val="3"/>
      </w:pPr>
      <w:r>
        <w:rPr>
          <w:rFonts w:ascii="Times New Roman" w:hAnsi="Times New Roman" w:eastAsia="Times New Roman" w:cs="Times New Roman"/>
          <w:sz w:val="22"/>
        </w:rPr>
        <w:t>3.8 Metrics</w:t>
      </w:r>
    </w:p>
    <w:p w14:paraId="316753DB">
      <w:pPr>
        <w:spacing w:after="80" w:line="252" w:lineRule="auto"/>
        <w:ind w:firstLine="238"/>
        <w:jc w:val="both"/>
      </w:pPr>
      <w:r>
        <w:rPr>
          <w:rFonts w:ascii="Times New Roman" w:hAnsi="Times New Roman" w:eastAsia="Times New Roman" w:cs="Times New Roman"/>
          <w:sz w:val="20"/>
        </w:rPr>
        <w:t>Application-level metrics came from the Locust /compute row and included total, successful, and failed requests; failure rate; average and median response time; P95 and P99 latency; minimum and maximum latency; and requests per second. For each workload/architecture pair, the three trial values were summarized using the mean and sample standard deviation, with ranges retained to show trial-to-trial spread.</w:t>
      </w:r>
    </w:p>
    <w:p w14:paraId="2ED1A8EE">
      <w:pPr>
        <w:spacing w:after="80" w:line="252" w:lineRule="auto"/>
        <w:ind w:firstLine="238"/>
        <w:jc w:val="both"/>
      </w:pPr>
      <w:r>
        <w:rPr>
          <w:rFonts w:ascii="Times New Roman" w:hAnsi="Times New Roman" w:eastAsia="Times New Roman" w:cs="Times New Roman"/>
          <w:sz w:val="20"/>
        </w:rPr>
        <w:t>CloudWatch metrics were queried for each formal UTC run window at 60-second granularity. EC2 measurements included CPUUtilization, NetworkIn, NetworkOut, and StatusCheckFailed. Lambda measurements included Invocations, Duration, Errors, Throttles, and ConcurrentExecutions, while API Gateway measurements included Count, 4XX, 5XX, Latency, and IntegrationLatency. Because CloudWatch aggregates timestamps, these values provide infrastructure context for the requested run windows; they should not be interpreted as millisecond-level traces matched to individual Locust requests.</w:t>
      </w:r>
    </w:p>
    <w:p w14:paraId="79014F0C">
      <w:pPr>
        <w:pStyle w:val="3"/>
      </w:pPr>
      <w:r>
        <w:rPr>
          <w:rFonts w:ascii="Times New Roman" w:hAnsi="Times New Roman" w:eastAsia="Times New Roman" w:cs="Times New Roman"/>
          <w:sz w:val="22"/>
        </w:rPr>
        <w:t>3.9 Cost Methodology</w:t>
      </w:r>
    </w:p>
    <w:p w14:paraId="254133FD">
      <w:pPr>
        <w:spacing w:after="80" w:line="252" w:lineRule="auto"/>
        <w:ind w:firstLine="238"/>
        <w:jc w:val="both"/>
      </w:pPr>
      <w:r>
        <w:rPr>
          <w:rFonts w:ascii="Times New Roman" w:hAnsi="Times New Roman" w:eastAsia="Times New Roman" w:cs="Times New Roman"/>
          <w:sz w:val="20"/>
        </w:rPr>
        <w:t>The cost comparison uses a regional AWS list-price snapshot captured during the experiment rather than the researcher's AWS bill. Free Tier usage, credits, Savings Plans, Reserved Instance discounts, taxes, and other account-specific benefits were excluded so that the comparison would not depend on one account's billing arrangement. The dataset therefore records actual_cost_usd as NOT_DIRECTLY_ATTRIBUTABLE and uses estimated_cost_usd for the reproducible list-price estimate.</w:t>
      </w:r>
    </w:p>
    <w:p w14:paraId="0D813D9F">
      <w:pPr>
        <w:spacing w:after="80" w:line="252" w:lineRule="auto"/>
        <w:ind w:firstLine="238"/>
        <w:jc w:val="both"/>
      </w:pPr>
      <w:r>
        <w:rPr>
          <w:rFonts w:ascii="Times New Roman" w:hAnsi="Times New Roman" w:eastAsia="Times New Roman" w:cs="Times New Roman"/>
          <w:sz w:val="20"/>
        </w:rPr>
        <w:t>For EC2, the estimate includes t3.small On-Demand compute, gp3 storage, and the in-use public IPv4 address. Allocation time matches the load duration except for W05, where the 300-second idle interval and the following 60-second burst are both charged to the continuously provisioned EC2 instance. The Serverless estimate uses measured Lambda invocations, average Lambda duration, 1 GB of configured memory, the regional Lambda request and GB-second rates, and the measured API Gateway request count. No Lambda compute cost is assigned during the W05 idle interval. CloudWatch research instrumentation, Systems Manager usage, Git, the load generator, and unrelated account services are outside the cost boundary.</w:t>
      </w:r>
    </w:p>
    <w:p w14:paraId="6409B036">
      <w:pPr>
        <w:spacing w:after="80" w:line="252" w:lineRule="auto"/>
        <w:ind w:firstLine="238"/>
        <w:jc w:val="both"/>
      </w:pPr>
      <w:r>
        <w:rPr>
          <w:rFonts w:ascii="Times New Roman" w:hAnsi="Times New Roman" w:eastAsia="Times New Roman" w:cs="Times New Roman"/>
          <w:sz w:val="20"/>
        </w:rPr>
        <w:t>The captured pricing snapshot was:</w:t>
      </w:r>
    </w:p>
    <w:p w14:paraId="491D48A5">
      <w:pPr>
        <w:spacing w:after="30"/>
        <w:ind w:left="340" w:hanging="170"/>
      </w:pPr>
      <w:r>
        <w:rPr>
          <w:rFonts w:ascii="Times New Roman" w:hAnsi="Times New Roman" w:eastAsia="Times New Roman" w:cs="Times New Roman"/>
          <w:sz w:val="20"/>
        </w:rPr>
        <w:t>• EC2 t3.small Linux: 0.0224 USD per Hrs (APS3-BoxUsage:t3.small).</w:t>
      </w:r>
    </w:p>
    <w:p w14:paraId="4D4CABA5">
      <w:pPr>
        <w:spacing w:after="30"/>
        <w:ind w:left="340" w:hanging="170"/>
      </w:pPr>
      <w:r>
        <w:rPr>
          <w:rFonts w:ascii="Times New Roman" w:hAnsi="Times New Roman" w:eastAsia="Times New Roman" w:cs="Times New Roman"/>
          <w:sz w:val="20"/>
        </w:rPr>
        <w:t>• EBS gp3 storage: 0.0912 USD per GB-Mo (APS3-EBS:VolumeUsage.gp3).</w:t>
      </w:r>
    </w:p>
    <w:p w14:paraId="2E08075D">
      <w:pPr>
        <w:spacing w:after="30"/>
        <w:ind w:left="340" w:hanging="170"/>
      </w:pPr>
      <w:r>
        <w:rPr>
          <w:rFonts w:ascii="Times New Roman" w:hAnsi="Times New Roman" w:eastAsia="Times New Roman" w:cs="Times New Roman"/>
          <w:sz w:val="20"/>
        </w:rPr>
        <w:t>• Lambda standard requests: 2e-07 USD per Request (APS3-Request).</w:t>
      </w:r>
    </w:p>
    <w:p w14:paraId="528A7892">
      <w:pPr>
        <w:spacing w:after="30"/>
        <w:ind w:left="340" w:hanging="170"/>
      </w:pPr>
      <w:r>
        <w:rPr>
          <w:rFonts w:ascii="Times New Roman" w:hAnsi="Times New Roman" w:eastAsia="Times New Roman" w:cs="Times New Roman"/>
          <w:sz w:val="20"/>
        </w:rPr>
        <w:t>• Lambda standard x86 duration: 1.66667e-05 USD per Lambda-GB-Second (APS3-Lambda-GB-Second).</w:t>
      </w:r>
    </w:p>
    <w:p w14:paraId="6BB5511A">
      <w:pPr>
        <w:spacing w:after="30"/>
        <w:ind w:left="340" w:hanging="170"/>
      </w:pPr>
      <w:r>
        <w:rPr>
          <w:rFonts w:ascii="Times New Roman" w:hAnsi="Times New Roman" w:eastAsia="Times New Roman" w:cs="Times New Roman"/>
          <w:sz w:val="20"/>
        </w:rPr>
        <w:t>• API Gateway HTTP API requests: 1.05e-06 USD per Requests (APS3-ApiGatewayHttpRequest).</w:t>
      </w:r>
    </w:p>
    <w:p w14:paraId="4A276F27">
      <w:pPr>
        <w:spacing w:after="30"/>
        <w:ind w:left="340" w:hanging="170"/>
      </w:pPr>
      <w:r>
        <w:rPr>
          <w:rFonts w:ascii="Times New Roman" w:hAnsi="Times New Roman" w:eastAsia="Times New Roman" w:cs="Times New Roman"/>
          <w:sz w:val="20"/>
        </w:rPr>
        <w:t>• Public IPv4 in-use: 0.005 USD per Hrs (PublicIPv4:InUseAddress).</w:t>
      </w:r>
    </w:p>
    <w:p w14:paraId="52B9DCF1">
      <w:pPr>
        <w:spacing w:after="80" w:line="252" w:lineRule="auto"/>
        <w:ind w:firstLine="238"/>
        <w:jc w:val="both"/>
      </w:pPr>
      <w:r>
        <w:rPr>
          <w:rFonts w:ascii="Times New Roman" w:hAnsi="Times New Roman" w:eastAsia="Times New Roman" w:cs="Times New Roman"/>
          <w:sz w:val="20"/>
        </w:rPr>
        <w:t>Lambda compute cost is therefore an estimate derived from CloudWatch aggregate Duration, invocation count, and configured memory. It is not a reconstruction of every invoice-level billed-duration record, which is why the paper consistently describes these values as estimated cost rather than actual billed cost.</w:t>
      </w:r>
    </w:p>
    <w:p w14:paraId="115F3EBA">
      <w:pPr>
        <w:pStyle w:val="2"/>
      </w:pPr>
      <w:r>
        <w:rPr>
          <w:rFonts w:ascii="Times New Roman" w:hAnsi="Times New Roman" w:eastAsia="Times New Roman" w:cs="Times New Roman"/>
          <w:sz w:val="22"/>
        </w:rPr>
        <w:t>4. Experimental Environment</w:t>
      </w:r>
    </w:p>
    <w:p w14:paraId="4731663D">
      <w:pPr>
        <w:keepNext/>
        <w:spacing w:before="80" w:after="60"/>
        <w:jc w:val="center"/>
      </w:pPr>
      <w:r>
        <w:rPr>
          <w:rFonts w:ascii="Times New Roman" w:hAnsi="Times New Roman" w:eastAsia="Times New Roman" w:cs="Times New Roman"/>
          <w:b/>
          <w:sz w:val="20"/>
        </w:rPr>
        <w:t>Table 1. Experimental Environment</w:t>
      </w:r>
    </w:p>
    <w:tbl>
      <w:tblPr>
        <w:tblStyle w:val="35"/>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3289"/>
        <w:gridCol w:w="3289"/>
        <w:gridCol w:w="3289"/>
      </w:tblGrid>
      <w:tr w14:paraId="4637CCC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3289" w:type="dxa"/>
            <w:shd w:val="clear" w:color="auto" w:fill="E7E6E6"/>
            <w:vAlign w:val="center"/>
          </w:tcPr>
          <w:p w14:paraId="35D581A1">
            <w:pPr>
              <w:spacing w:before="0" w:after="0" w:line="240" w:lineRule="auto"/>
              <w:jc w:val="left"/>
            </w:pPr>
            <w:r>
              <w:rPr>
                <w:rFonts w:ascii="Times New Roman" w:hAnsi="Times New Roman" w:eastAsia="Times New Roman" w:cs="Times New Roman"/>
                <w:b/>
                <w:sz w:val="20"/>
              </w:rPr>
              <w:t>Category</w:t>
            </w:r>
          </w:p>
        </w:tc>
        <w:tc>
          <w:tcPr>
            <w:tcW w:w="3289" w:type="dxa"/>
            <w:shd w:val="clear" w:color="auto" w:fill="E7E6E6"/>
            <w:vAlign w:val="center"/>
          </w:tcPr>
          <w:p w14:paraId="78BFF349">
            <w:pPr>
              <w:spacing w:before="0" w:after="0" w:line="240" w:lineRule="auto"/>
              <w:jc w:val="left"/>
            </w:pPr>
            <w:r>
              <w:rPr>
                <w:rFonts w:ascii="Times New Roman" w:hAnsi="Times New Roman" w:eastAsia="Times New Roman" w:cs="Times New Roman"/>
                <w:b/>
                <w:sz w:val="20"/>
              </w:rPr>
              <w:t>Parameter</w:t>
            </w:r>
          </w:p>
        </w:tc>
        <w:tc>
          <w:tcPr>
            <w:tcW w:w="3289" w:type="dxa"/>
            <w:shd w:val="clear" w:color="auto" w:fill="E7E6E6"/>
            <w:vAlign w:val="center"/>
          </w:tcPr>
          <w:p w14:paraId="3087D4D7">
            <w:pPr>
              <w:spacing w:before="0" w:after="0" w:line="240" w:lineRule="auto"/>
              <w:jc w:val="center"/>
            </w:pPr>
            <w:r>
              <w:rPr>
                <w:rFonts w:ascii="Times New Roman" w:hAnsi="Times New Roman" w:eastAsia="Times New Roman" w:cs="Times New Roman"/>
                <w:b/>
                <w:sz w:val="20"/>
              </w:rPr>
              <w:t>Value</w:t>
            </w:r>
          </w:p>
        </w:tc>
      </w:tr>
      <w:tr w14:paraId="0F2FF4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3C93BB77">
            <w:pPr>
              <w:spacing w:before="0" w:after="0" w:line="240" w:lineRule="auto"/>
              <w:jc w:val="left"/>
            </w:pPr>
            <w:r>
              <w:rPr>
                <w:rFonts w:ascii="Times New Roman" w:hAnsi="Times New Roman" w:eastAsia="Times New Roman" w:cs="Times New Roman"/>
                <w:b w:val="0"/>
                <w:sz w:val="20"/>
              </w:rPr>
              <w:t>Cloud region</w:t>
            </w:r>
          </w:p>
        </w:tc>
        <w:tc>
          <w:tcPr>
            <w:tcW w:w="3289" w:type="dxa"/>
            <w:vAlign w:val="center"/>
          </w:tcPr>
          <w:p w14:paraId="112684C9">
            <w:pPr>
              <w:spacing w:before="0" w:after="0" w:line="240" w:lineRule="auto"/>
              <w:jc w:val="left"/>
            </w:pPr>
            <w:r>
              <w:rPr>
                <w:rFonts w:ascii="Times New Roman" w:hAnsi="Times New Roman" w:eastAsia="Times New Roman" w:cs="Times New Roman"/>
                <w:b w:val="0"/>
                <w:sz w:val="20"/>
              </w:rPr>
              <w:t>AWS Region</w:t>
            </w:r>
          </w:p>
        </w:tc>
        <w:tc>
          <w:tcPr>
            <w:tcW w:w="3289" w:type="dxa"/>
            <w:vAlign w:val="center"/>
          </w:tcPr>
          <w:p w14:paraId="7BED7899">
            <w:pPr>
              <w:spacing w:before="0" w:after="0" w:line="240" w:lineRule="auto"/>
              <w:jc w:val="center"/>
            </w:pPr>
            <w:r>
              <w:rPr>
                <w:rFonts w:ascii="Times New Roman" w:hAnsi="Times New Roman" w:eastAsia="Times New Roman" w:cs="Times New Roman"/>
                <w:b w:val="0"/>
                <w:sz w:val="20"/>
              </w:rPr>
              <w:t>ap-south-1</w:t>
            </w:r>
          </w:p>
        </w:tc>
      </w:tr>
      <w:tr w14:paraId="5C5F74B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7840A50A">
            <w:pPr>
              <w:spacing w:before="0" w:after="0" w:line="240" w:lineRule="auto"/>
              <w:jc w:val="left"/>
            </w:pPr>
            <w:r>
              <w:rPr>
                <w:rFonts w:ascii="Times New Roman" w:hAnsi="Times New Roman" w:eastAsia="Times New Roman" w:cs="Times New Roman"/>
                <w:b w:val="0"/>
                <w:sz w:val="20"/>
              </w:rPr>
              <w:t>Experimental design</w:t>
            </w:r>
          </w:p>
        </w:tc>
        <w:tc>
          <w:tcPr>
            <w:tcW w:w="3289" w:type="dxa"/>
            <w:shd w:val="clear" w:color="auto" w:fill="F7F7F7"/>
            <w:vAlign w:val="center"/>
          </w:tcPr>
          <w:p w14:paraId="6DB4C20D">
            <w:pPr>
              <w:spacing w:before="0" w:after="0" w:line="240" w:lineRule="auto"/>
              <w:jc w:val="left"/>
            </w:pPr>
            <w:r>
              <w:rPr>
                <w:rFonts w:ascii="Times New Roman" w:hAnsi="Times New Roman" w:eastAsia="Times New Roman" w:cs="Times New Roman"/>
                <w:b w:val="0"/>
                <w:sz w:val="20"/>
              </w:rPr>
              <w:t>Formal trials</w:t>
            </w:r>
          </w:p>
        </w:tc>
        <w:tc>
          <w:tcPr>
            <w:tcW w:w="3289" w:type="dxa"/>
            <w:shd w:val="clear" w:color="auto" w:fill="F7F7F7"/>
            <w:vAlign w:val="center"/>
          </w:tcPr>
          <w:p w14:paraId="0C56E2B4">
            <w:pPr>
              <w:spacing w:before="0" w:after="0" w:line="240" w:lineRule="auto"/>
              <w:jc w:val="center"/>
            </w:pPr>
            <w:r>
              <w:rPr>
                <w:rFonts w:ascii="Times New Roman" w:hAnsi="Times New Roman" w:eastAsia="Times New Roman" w:cs="Times New Roman"/>
                <w:b w:val="0"/>
                <w:sz w:val="20"/>
              </w:rPr>
              <w:t>36 accepted trials</w:t>
            </w:r>
          </w:p>
        </w:tc>
      </w:tr>
      <w:tr w14:paraId="42424C4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0A34867E">
            <w:pPr>
              <w:spacing w:before="0" w:after="0" w:line="240" w:lineRule="auto"/>
              <w:jc w:val="left"/>
            </w:pPr>
            <w:r>
              <w:rPr>
                <w:rFonts w:ascii="Times New Roman" w:hAnsi="Times New Roman" w:eastAsia="Times New Roman" w:cs="Times New Roman"/>
                <w:b w:val="0"/>
                <w:sz w:val="20"/>
              </w:rPr>
              <w:t>Experimental design</w:t>
            </w:r>
          </w:p>
        </w:tc>
        <w:tc>
          <w:tcPr>
            <w:tcW w:w="3289" w:type="dxa"/>
            <w:vAlign w:val="center"/>
          </w:tcPr>
          <w:p w14:paraId="14D8C2BA">
            <w:pPr>
              <w:spacing w:before="0" w:after="0" w:line="240" w:lineRule="auto"/>
              <w:jc w:val="left"/>
            </w:pPr>
            <w:r>
              <w:rPr>
                <w:rFonts w:ascii="Times New Roman" w:hAnsi="Times New Roman" w:eastAsia="Times New Roman" w:cs="Times New Roman"/>
                <w:b w:val="0"/>
                <w:sz w:val="20"/>
              </w:rPr>
              <w:t>Conditions</w:t>
            </w:r>
          </w:p>
        </w:tc>
        <w:tc>
          <w:tcPr>
            <w:tcW w:w="3289" w:type="dxa"/>
            <w:vAlign w:val="center"/>
          </w:tcPr>
          <w:p w14:paraId="56E65407">
            <w:pPr>
              <w:spacing w:before="0" w:after="0" w:line="240" w:lineRule="auto"/>
              <w:jc w:val="center"/>
            </w:pPr>
            <w:r>
              <w:rPr>
                <w:rFonts w:ascii="Times New Roman" w:hAnsi="Times New Roman" w:eastAsia="Times New Roman" w:cs="Times New Roman"/>
                <w:b w:val="0"/>
                <w:sz w:val="20"/>
              </w:rPr>
              <w:t>6 workloads × 2 architectures × 3 repetitions</w:t>
            </w:r>
          </w:p>
        </w:tc>
      </w:tr>
      <w:tr w14:paraId="179F682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464DC18D">
            <w:pPr>
              <w:spacing w:before="0" w:after="0" w:line="240" w:lineRule="auto"/>
              <w:jc w:val="left"/>
            </w:pPr>
            <w:r>
              <w:rPr>
                <w:rFonts w:ascii="Times New Roman" w:hAnsi="Times New Roman" w:eastAsia="Times New Roman" w:cs="Times New Roman"/>
                <w:b w:val="0"/>
                <w:sz w:val="20"/>
              </w:rPr>
              <w:t>Workload</w:t>
            </w:r>
          </w:p>
        </w:tc>
        <w:tc>
          <w:tcPr>
            <w:tcW w:w="3289" w:type="dxa"/>
            <w:shd w:val="clear" w:color="auto" w:fill="F7F7F7"/>
            <w:vAlign w:val="center"/>
          </w:tcPr>
          <w:p w14:paraId="25C9D384">
            <w:pPr>
              <w:spacing w:before="0" w:after="0" w:line="240" w:lineRule="auto"/>
              <w:jc w:val="left"/>
            </w:pPr>
            <w:r>
              <w:rPr>
                <w:rFonts w:ascii="Times New Roman" w:hAnsi="Times New Roman" w:eastAsia="Times New Roman" w:cs="Times New Roman"/>
                <w:b w:val="0"/>
                <w:sz w:val="20"/>
              </w:rPr>
              <w:t>Compute operation</w:t>
            </w:r>
          </w:p>
        </w:tc>
        <w:tc>
          <w:tcPr>
            <w:tcW w:w="3289" w:type="dxa"/>
            <w:shd w:val="clear" w:color="auto" w:fill="F7F7F7"/>
            <w:vAlign w:val="center"/>
          </w:tcPr>
          <w:p w14:paraId="41FA96EB">
            <w:pPr>
              <w:spacing w:before="0" w:after="0" w:line="240" w:lineRule="auto"/>
              <w:jc w:val="center"/>
            </w:pPr>
            <w:r>
              <w:rPr>
                <w:rFonts w:ascii="Times New Roman" w:hAnsi="Times New Roman" w:eastAsia="Times New Roman" w:cs="Times New Roman"/>
                <w:b w:val="0"/>
                <w:sz w:val="20"/>
              </w:rPr>
              <w:t>Chained SHA-256 CPU-bound computation</w:t>
            </w:r>
          </w:p>
        </w:tc>
      </w:tr>
      <w:tr w14:paraId="68C9FA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3F57A743">
            <w:pPr>
              <w:spacing w:before="0" w:after="0" w:line="240" w:lineRule="auto"/>
              <w:jc w:val="left"/>
            </w:pPr>
            <w:r>
              <w:rPr>
                <w:rFonts w:ascii="Times New Roman" w:hAnsi="Times New Roman" w:eastAsia="Times New Roman" w:cs="Times New Roman"/>
                <w:b w:val="0"/>
                <w:sz w:val="20"/>
              </w:rPr>
              <w:t>Workload</w:t>
            </w:r>
          </w:p>
        </w:tc>
        <w:tc>
          <w:tcPr>
            <w:tcW w:w="3289" w:type="dxa"/>
            <w:vAlign w:val="center"/>
          </w:tcPr>
          <w:p w14:paraId="36CB6941">
            <w:pPr>
              <w:spacing w:before="0" w:after="0" w:line="240" w:lineRule="auto"/>
              <w:jc w:val="left"/>
            </w:pPr>
            <w:r>
              <w:rPr>
                <w:rFonts w:ascii="Times New Roman" w:hAnsi="Times New Roman" w:eastAsia="Times New Roman" w:cs="Times New Roman"/>
                <w:b w:val="0"/>
                <w:sz w:val="20"/>
              </w:rPr>
              <w:t>Compute iterations</w:t>
            </w:r>
          </w:p>
        </w:tc>
        <w:tc>
          <w:tcPr>
            <w:tcW w:w="3289" w:type="dxa"/>
            <w:vAlign w:val="center"/>
          </w:tcPr>
          <w:p w14:paraId="40561079">
            <w:pPr>
              <w:spacing w:before="0" w:after="0" w:line="240" w:lineRule="auto"/>
              <w:jc w:val="center"/>
            </w:pPr>
            <w:r>
              <w:rPr>
                <w:rFonts w:ascii="Times New Roman" w:hAnsi="Times New Roman" w:eastAsia="Times New Roman" w:cs="Times New Roman"/>
                <w:b w:val="0"/>
                <w:sz w:val="20"/>
              </w:rPr>
              <w:t>25,000</w:t>
            </w:r>
          </w:p>
        </w:tc>
      </w:tr>
      <w:tr w14:paraId="1B8C3CE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49651FAB">
            <w:pPr>
              <w:spacing w:before="0" w:after="0" w:line="240" w:lineRule="auto"/>
              <w:jc w:val="left"/>
            </w:pPr>
            <w:r>
              <w:rPr>
                <w:rFonts w:ascii="Times New Roman" w:hAnsi="Times New Roman" w:eastAsia="Times New Roman" w:cs="Times New Roman"/>
                <w:b w:val="0"/>
                <w:sz w:val="20"/>
              </w:rPr>
              <w:t>Load generation</w:t>
            </w:r>
          </w:p>
        </w:tc>
        <w:tc>
          <w:tcPr>
            <w:tcW w:w="3289" w:type="dxa"/>
            <w:shd w:val="clear" w:color="auto" w:fill="F7F7F7"/>
            <w:vAlign w:val="center"/>
          </w:tcPr>
          <w:p w14:paraId="523B1D69">
            <w:pPr>
              <w:spacing w:before="0" w:after="0" w:line="240" w:lineRule="auto"/>
              <w:jc w:val="left"/>
            </w:pPr>
            <w:r>
              <w:rPr>
                <w:rFonts w:ascii="Times New Roman" w:hAnsi="Times New Roman" w:eastAsia="Times New Roman" w:cs="Times New Roman"/>
                <w:b w:val="0"/>
                <w:sz w:val="20"/>
              </w:rPr>
              <w:t>Tool</w:t>
            </w:r>
          </w:p>
        </w:tc>
        <w:tc>
          <w:tcPr>
            <w:tcW w:w="3289" w:type="dxa"/>
            <w:shd w:val="clear" w:color="auto" w:fill="F7F7F7"/>
            <w:vAlign w:val="center"/>
          </w:tcPr>
          <w:p w14:paraId="158F9262">
            <w:pPr>
              <w:spacing w:before="0" w:after="0" w:line="240" w:lineRule="auto"/>
              <w:jc w:val="center"/>
            </w:pPr>
            <w:r>
              <w:rPr>
                <w:rFonts w:ascii="Times New Roman" w:hAnsi="Times New Roman" w:eastAsia="Times New Roman" w:cs="Times New Roman"/>
                <w:b w:val="0"/>
                <w:sz w:val="20"/>
              </w:rPr>
              <w:t>Locust 2.46.3</w:t>
            </w:r>
          </w:p>
        </w:tc>
      </w:tr>
      <w:tr w14:paraId="23BE13F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643335BD">
            <w:pPr>
              <w:spacing w:before="0" w:after="0" w:line="240" w:lineRule="auto"/>
              <w:jc w:val="left"/>
            </w:pPr>
            <w:r>
              <w:rPr>
                <w:rFonts w:ascii="Times New Roman" w:hAnsi="Times New Roman" w:eastAsia="Times New Roman" w:cs="Times New Roman"/>
                <w:b w:val="0"/>
                <w:sz w:val="20"/>
              </w:rPr>
              <w:t>EC2</w:t>
            </w:r>
          </w:p>
        </w:tc>
        <w:tc>
          <w:tcPr>
            <w:tcW w:w="3289" w:type="dxa"/>
            <w:vAlign w:val="center"/>
          </w:tcPr>
          <w:p w14:paraId="74CCBAF1">
            <w:pPr>
              <w:spacing w:before="0" w:after="0" w:line="240" w:lineRule="auto"/>
              <w:jc w:val="left"/>
            </w:pPr>
            <w:r>
              <w:rPr>
                <w:rFonts w:ascii="Times New Roman" w:hAnsi="Times New Roman" w:eastAsia="Times New Roman" w:cs="Times New Roman"/>
                <w:b w:val="0"/>
                <w:sz w:val="20"/>
              </w:rPr>
              <w:t>Instance</w:t>
            </w:r>
          </w:p>
        </w:tc>
        <w:tc>
          <w:tcPr>
            <w:tcW w:w="3289" w:type="dxa"/>
            <w:vAlign w:val="center"/>
          </w:tcPr>
          <w:p w14:paraId="21150A51">
            <w:pPr>
              <w:spacing w:before="0" w:after="0" w:line="240" w:lineRule="auto"/>
              <w:jc w:val="center"/>
            </w:pPr>
            <w:r>
              <w:rPr>
                <w:rFonts w:ascii="Times New Roman" w:hAnsi="Times New Roman" w:eastAsia="Times New Roman" w:cs="Times New Roman"/>
                <w:b w:val="0"/>
                <w:sz w:val="20"/>
              </w:rPr>
              <w:t>t3.small</w:t>
            </w:r>
          </w:p>
        </w:tc>
      </w:tr>
      <w:tr w14:paraId="064C7A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63DCAABA">
            <w:pPr>
              <w:spacing w:before="0" w:after="0" w:line="240" w:lineRule="auto"/>
              <w:jc w:val="left"/>
            </w:pPr>
            <w:r>
              <w:rPr>
                <w:rFonts w:ascii="Times New Roman" w:hAnsi="Times New Roman" w:eastAsia="Times New Roman" w:cs="Times New Roman"/>
                <w:b w:val="0"/>
                <w:sz w:val="20"/>
              </w:rPr>
              <w:t>EC2</w:t>
            </w:r>
          </w:p>
        </w:tc>
        <w:tc>
          <w:tcPr>
            <w:tcW w:w="3289" w:type="dxa"/>
            <w:shd w:val="clear" w:color="auto" w:fill="F7F7F7"/>
            <w:vAlign w:val="center"/>
          </w:tcPr>
          <w:p w14:paraId="14450BF5">
            <w:pPr>
              <w:spacing w:before="0" w:after="0" w:line="240" w:lineRule="auto"/>
              <w:jc w:val="left"/>
            </w:pPr>
            <w:r>
              <w:rPr>
                <w:rFonts w:ascii="Times New Roman" w:hAnsi="Times New Roman" w:eastAsia="Times New Roman" w:cs="Times New Roman"/>
                <w:b w:val="0"/>
                <w:sz w:val="20"/>
              </w:rPr>
              <w:t>Application stack</w:t>
            </w:r>
          </w:p>
        </w:tc>
        <w:tc>
          <w:tcPr>
            <w:tcW w:w="3289" w:type="dxa"/>
            <w:shd w:val="clear" w:color="auto" w:fill="F7F7F7"/>
            <w:vAlign w:val="center"/>
          </w:tcPr>
          <w:p w14:paraId="40004C02">
            <w:pPr>
              <w:spacing w:before="0" w:after="0" w:line="240" w:lineRule="auto"/>
              <w:jc w:val="center"/>
            </w:pPr>
            <w:r>
              <w:rPr>
                <w:rFonts w:ascii="Times New Roman" w:hAnsi="Times New Roman" w:eastAsia="Times New Roman" w:cs="Times New Roman"/>
                <w:b w:val="0"/>
                <w:sz w:val="20"/>
              </w:rPr>
              <w:t>Ubuntu 24.04, Flask, Gunicorn, Nginx</w:t>
            </w:r>
          </w:p>
        </w:tc>
      </w:tr>
      <w:tr w14:paraId="6306F0C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3210D6E8">
            <w:pPr>
              <w:spacing w:before="0" w:after="0" w:line="240" w:lineRule="auto"/>
              <w:jc w:val="left"/>
            </w:pPr>
            <w:r>
              <w:rPr>
                <w:rFonts w:ascii="Times New Roman" w:hAnsi="Times New Roman" w:eastAsia="Times New Roman" w:cs="Times New Roman"/>
                <w:b w:val="0"/>
                <w:sz w:val="20"/>
              </w:rPr>
              <w:t>EC2</w:t>
            </w:r>
          </w:p>
        </w:tc>
        <w:tc>
          <w:tcPr>
            <w:tcW w:w="3289" w:type="dxa"/>
            <w:vAlign w:val="center"/>
          </w:tcPr>
          <w:p w14:paraId="5388AA3F">
            <w:pPr>
              <w:spacing w:before="0" w:after="0" w:line="240" w:lineRule="auto"/>
              <w:jc w:val="left"/>
            </w:pPr>
            <w:r>
              <w:rPr>
                <w:rFonts w:ascii="Times New Roman" w:hAnsi="Times New Roman" w:eastAsia="Times New Roman" w:cs="Times New Roman"/>
                <w:b w:val="0"/>
                <w:sz w:val="20"/>
              </w:rPr>
              <w:t>Storage / access</w:t>
            </w:r>
          </w:p>
        </w:tc>
        <w:tc>
          <w:tcPr>
            <w:tcW w:w="3289" w:type="dxa"/>
            <w:vAlign w:val="center"/>
          </w:tcPr>
          <w:p w14:paraId="7C0E11CA">
            <w:pPr>
              <w:spacing w:before="0" w:after="0" w:line="240" w:lineRule="auto"/>
              <w:jc w:val="center"/>
            </w:pPr>
            <w:r>
              <w:rPr>
                <w:rFonts w:ascii="Times New Roman" w:hAnsi="Times New Roman" w:eastAsia="Times New Roman" w:cs="Times New Roman"/>
                <w:b w:val="0"/>
                <w:sz w:val="20"/>
              </w:rPr>
              <w:t>8 GB gp3 EBS; public IPv4 endpoint</w:t>
            </w:r>
          </w:p>
        </w:tc>
      </w:tr>
      <w:tr w14:paraId="77D8FA6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6D965F08">
            <w:pPr>
              <w:spacing w:before="0" w:after="0" w:line="240" w:lineRule="auto"/>
              <w:jc w:val="left"/>
            </w:pPr>
            <w:r>
              <w:rPr>
                <w:rFonts w:ascii="Times New Roman" w:hAnsi="Times New Roman" w:eastAsia="Times New Roman" w:cs="Times New Roman"/>
                <w:b w:val="0"/>
                <w:sz w:val="20"/>
              </w:rPr>
              <w:t>Serverless</w:t>
            </w:r>
          </w:p>
        </w:tc>
        <w:tc>
          <w:tcPr>
            <w:tcW w:w="3289" w:type="dxa"/>
            <w:shd w:val="clear" w:color="auto" w:fill="F7F7F7"/>
            <w:vAlign w:val="center"/>
          </w:tcPr>
          <w:p w14:paraId="78198147">
            <w:pPr>
              <w:spacing w:before="0" w:after="0" w:line="240" w:lineRule="auto"/>
              <w:jc w:val="left"/>
            </w:pPr>
            <w:r>
              <w:rPr>
                <w:rFonts w:ascii="Times New Roman" w:hAnsi="Times New Roman" w:eastAsia="Times New Roman" w:cs="Times New Roman"/>
                <w:b w:val="0"/>
                <w:sz w:val="20"/>
              </w:rPr>
              <w:t>Lambda configuration</w:t>
            </w:r>
          </w:p>
        </w:tc>
        <w:tc>
          <w:tcPr>
            <w:tcW w:w="3289" w:type="dxa"/>
            <w:shd w:val="clear" w:color="auto" w:fill="F7F7F7"/>
            <w:vAlign w:val="center"/>
          </w:tcPr>
          <w:p w14:paraId="4129CFDD">
            <w:pPr>
              <w:spacing w:before="0" w:after="0" w:line="240" w:lineRule="auto"/>
              <w:jc w:val="center"/>
            </w:pPr>
            <w:r>
              <w:rPr>
                <w:rFonts w:ascii="Times New Roman" w:hAnsi="Times New Roman" w:eastAsia="Times New Roman" w:cs="Times New Roman"/>
                <w:b w:val="0"/>
                <w:sz w:val="20"/>
              </w:rPr>
              <w:t>Python 3.12, x86_64, 1024 MB</w:t>
            </w:r>
          </w:p>
        </w:tc>
      </w:tr>
      <w:tr w14:paraId="02A5906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3DB9E535">
            <w:pPr>
              <w:spacing w:before="0" w:after="0" w:line="240" w:lineRule="auto"/>
              <w:jc w:val="left"/>
            </w:pPr>
            <w:r>
              <w:rPr>
                <w:rFonts w:ascii="Times New Roman" w:hAnsi="Times New Roman" w:eastAsia="Times New Roman" w:cs="Times New Roman"/>
                <w:b w:val="0"/>
                <w:sz w:val="20"/>
              </w:rPr>
              <w:t>Serverless</w:t>
            </w:r>
          </w:p>
        </w:tc>
        <w:tc>
          <w:tcPr>
            <w:tcW w:w="3289" w:type="dxa"/>
            <w:vAlign w:val="center"/>
          </w:tcPr>
          <w:p w14:paraId="284757A3">
            <w:pPr>
              <w:spacing w:before="0" w:after="0" w:line="240" w:lineRule="auto"/>
              <w:jc w:val="left"/>
            </w:pPr>
            <w:r>
              <w:rPr>
                <w:rFonts w:ascii="Times New Roman" w:hAnsi="Times New Roman" w:eastAsia="Times New Roman" w:cs="Times New Roman"/>
                <w:b w:val="0"/>
                <w:sz w:val="20"/>
              </w:rPr>
              <w:t>API</w:t>
            </w:r>
          </w:p>
        </w:tc>
        <w:tc>
          <w:tcPr>
            <w:tcW w:w="3289" w:type="dxa"/>
            <w:vAlign w:val="center"/>
          </w:tcPr>
          <w:p w14:paraId="55657AC2">
            <w:pPr>
              <w:spacing w:before="0" w:after="0" w:line="240" w:lineRule="auto"/>
              <w:jc w:val="center"/>
            </w:pPr>
            <w:r>
              <w:rPr>
                <w:rFonts w:ascii="Times New Roman" w:hAnsi="Times New Roman" w:eastAsia="Times New Roman" w:cs="Times New Roman"/>
                <w:b w:val="0"/>
                <w:sz w:val="20"/>
              </w:rPr>
              <w:t>Amazon API Gateway HTTP API</w:t>
            </w:r>
          </w:p>
        </w:tc>
      </w:tr>
      <w:tr w14:paraId="6BE0FF0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76C49CC9">
            <w:pPr>
              <w:spacing w:before="0" w:after="0" w:line="240" w:lineRule="auto"/>
              <w:jc w:val="left"/>
            </w:pPr>
            <w:r>
              <w:rPr>
                <w:rFonts w:ascii="Times New Roman" w:hAnsi="Times New Roman" w:eastAsia="Times New Roman" w:cs="Times New Roman"/>
                <w:b w:val="0"/>
                <w:sz w:val="20"/>
              </w:rPr>
              <w:t>Monitoring</w:t>
            </w:r>
          </w:p>
        </w:tc>
        <w:tc>
          <w:tcPr>
            <w:tcW w:w="3289" w:type="dxa"/>
            <w:shd w:val="clear" w:color="auto" w:fill="F7F7F7"/>
            <w:vAlign w:val="center"/>
          </w:tcPr>
          <w:p w14:paraId="15378994">
            <w:pPr>
              <w:spacing w:before="0" w:after="0" w:line="240" w:lineRule="auto"/>
              <w:jc w:val="left"/>
            </w:pPr>
            <w:r>
              <w:rPr>
                <w:rFonts w:ascii="Times New Roman" w:hAnsi="Times New Roman" w:eastAsia="Times New Roman" w:cs="Times New Roman"/>
                <w:b w:val="0"/>
                <w:sz w:val="20"/>
              </w:rPr>
              <w:t>AWS telemetry</w:t>
            </w:r>
          </w:p>
        </w:tc>
        <w:tc>
          <w:tcPr>
            <w:tcW w:w="3289" w:type="dxa"/>
            <w:shd w:val="clear" w:color="auto" w:fill="F7F7F7"/>
            <w:vAlign w:val="center"/>
          </w:tcPr>
          <w:p w14:paraId="4C976836">
            <w:pPr>
              <w:spacing w:before="0" w:after="0" w:line="240" w:lineRule="auto"/>
              <w:jc w:val="center"/>
            </w:pPr>
            <w:r>
              <w:rPr>
                <w:rFonts w:ascii="Times New Roman" w:hAnsi="Times New Roman" w:eastAsia="Times New Roman" w:cs="Times New Roman"/>
                <w:b w:val="0"/>
                <w:sz w:val="20"/>
              </w:rPr>
              <w:t>Amazon CloudWatch; 60-second formal metric extraction</w:t>
            </w:r>
          </w:p>
        </w:tc>
      </w:tr>
      <w:tr w14:paraId="1037435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vAlign w:val="center"/>
          </w:tcPr>
          <w:p w14:paraId="3416BED1">
            <w:pPr>
              <w:spacing w:before="0" w:after="0" w:line="240" w:lineRule="auto"/>
              <w:jc w:val="left"/>
            </w:pPr>
            <w:r>
              <w:rPr>
                <w:rFonts w:ascii="Times New Roman" w:hAnsi="Times New Roman" w:eastAsia="Times New Roman" w:cs="Times New Roman"/>
                <w:b w:val="0"/>
                <w:sz w:val="20"/>
              </w:rPr>
              <w:t>Cost</w:t>
            </w:r>
          </w:p>
        </w:tc>
        <w:tc>
          <w:tcPr>
            <w:tcW w:w="3289" w:type="dxa"/>
            <w:vAlign w:val="center"/>
          </w:tcPr>
          <w:p w14:paraId="0520C049">
            <w:pPr>
              <w:spacing w:before="0" w:after="0" w:line="240" w:lineRule="auto"/>
              <w:jc w:val="left"/>
            </w:pPr>
            <w:r>
              <w:rPr>
                <w:rFonts w:ascii="Times New Roman" w:hAnsi="Times New Roman" w:eastAsia="Times New Roman" w:cs="Times New Roman"/>
                <w:b w:val="0"/>
                <w:sz w:val="20"/>
              </w:rPr>
              <w:t>Cost methodology</w:t>
            </w:r>
          </w:p>
        </w:tc>
        <w:tc>
          <w:tcPr>
            <w:tcW w:w="3289" w:type="dxa"/>
            <w:vAlign w:val="center"/>
          </w:tcPr>
          <w:p w14:paraId="796FEA15">
            <w:pPr>
              <w:spacing w:before="0" w:after="0" w:line="240" w:lineRule="auto"/>
              <w:jc w:val="center"/>
            </w:pPr>
            <w:r>
              <w:rPr>
                <w:rFonts w:ascii="Times New Roman" w:hAnsi="Times New Roman" w:eastAsia="Times New Roman" w:cs="Times New Roman"/>
                <w:b w:val="0"/>
                <w:sz w:val="20"/>
              </w:rPr>
              <w:t>Regional AWS list-price estimate</w:t>
            </w:r>
          </w:p>
        </w:tc>
      </w:tr>
      <w:tr w14:paraId="12DFDE6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3289" w:type="dxa"/>
            <w:shd w:val="clear" w:color="auto" w:fill="F7F7F7"/>
            <w:vAlign w:val="center"/>
          </w:tcPr>
          <w:p w14:paraId="3D81F30A">
            <w:pPr>
              <w:spacing w:before="0" w:after="0" w:line="240" w:lineRule="auto"/>
              <w:jc w:val="left"/>
            </w:pPr>
            <w:r>
              <w:rPr>
                <w:rFonts w:ascii="Times New Roman" w:hAnsi="Times New Roman" w:eastAsia="Times New Roman" w:cs="Times New Roman"/>
                <w:b w:val="0"/>
                <w:sz w:val="20"/>
              </w:rPr>
              <w:t>Cost</w:t>
            </w:r>
          </w:p>
        </w:tc>
        <w:tc>
          <w:tcPr>
            <w:tcW w:w="3289" w:type="dxa"/>
            <w:shd w:val="clear" w:color="auto" w:fill="F7F7F7"/>
            <w:vAlign w:val="center"/>
          </w:tcPr>
          <w:p w14:paraId="03D79963">
            <w:pPr>
              <w:spacing w:before="0" w:after="0" w:line="240" w:lineRule="auto"/>
              <w:jc w:val="left"/>
            </w:pPr>
            <w:r>
              <w:rPr>
                <w:rFonts w:ascii="Times New Roman" w:hAnsi="Times New Roman" w:eastAsia="Times New Roman" w:cs="Times New Roman"/>
                <w:b w:val="0"/>
                <w:sz w:val="20"/>
              </w:rPr>
              <w:t>Account-specific benefits</w:t>
            </w:r>
          </w:p>
        </w:tc>
        <w:tc>
          <w:tcPr>
            <w:tcW w:w="3289" w:type="dxa"/>
            <w:shd w:val="clear" w:color="auto" w:fill="F7F7F7"/>
            <w:vAlign w:val="center"/>
          </w:tcPr>
          <w:p w14:paraId="70F46795">
            <w:pPr>
              <w:spacing w:before="0" w:after="0" w:line="240" w:lineRule="auto"/>
              <w:jc w:val="center"/>
            </w:pPr>
            <w:r>
              <w:rPr>
                <w:rFonts w:ascii="Times New Roman" w:hAnsi="Times New Roman" w:eastAsia="Times New Roman" w:cs="Times New Roman"/>
                <w:b w:val="0"/>
                <w:sz w:val="20"/>
              </w:rPr>
              <w:t>Free Tier, credits and discounts excluded</w:t>
            </w:r>
          </w:p>
        </w:tc>
      </w:tr>
    </w:tbl>
    <w:p w14:paraId="2ED36320">
      <w:pPr>
        <w:spacing w:before="40" w:after="120"/>
      </w:pPr>
      <w:r>
        <w:rPr>
          <w:rFonts w:ascii="Times New Roman" w:hAnsi="Times New Roman" w:eastAsia="Times New Roman" w:cs="Times New Roman"/>
          <w:i/>
          <w:sz w:val="18"/>
        </w:rPr>
        <w:t>Note: The formal analysis uses the frozen experimental configuration.</w:t>
      </w:r>
    </w:p>
    <w:p w14:paraId="582E8AC7">
      <w:pPr>
        <w:spacing w:after="80" w:line="252" w:lineRule="auto"/>
        <w:ind w:firstLine="238"/>
        <w:jc w:val="both"/>
      </w:pPr>
      <w:r>
        <w:rPr>
          <w:rFonts w:ascii="Times New Roman" w:hAnsi="Times New Roman" w:eastAsia="Times New Roman" w:cs="Times New Roman"/>
          <w:sz w:val="20"/>
        </w:rPr>
        <w:t>The environment was intentionally kept small enough to reproduce and inspect. EC2 and Serverless were deployed in the same AWS Region and exposed equivalent application behavior. The load generator ran outside both target architectures and was checked before formal testing for obvious CPU saturation. Terraform managed the infrastructure definitions, and configuration checks were completed before the formal phase.</w:t>
      </w:r>
    </w:p>
    <w:p w14:paraId="76C6A00C">
      <w:pPr>
        <w:pStyle w:val="2"/>
      </w:pPr>
      <w:r>
        <w:rPr>
          <w:rFonts w:ascii="Times New Roman" w:hAnsi="Times New Roman" w:eastAsia="Times New Roman" w:cs="Times New Roman"/>
          <w:sz w:val="22"/>
        </w:rPr>
        <w:t>5. Results</w:t>
      </w:r>
    </w:p>
    <w:p w14:paraId="584EABEA">
      <w:pPr>
        <w:spacing w:after="80" w:line="252" w:lineRule="auto"/>
        <w:ind w:firstLine="238"/>
        <w:jc w:val="both"/>
      </w:pPr>
      <w:r>
        <w:rPr>
          <w:rFonts w:ascii="Times New Roman" w:hAnsi="Times New Roman" w:eastAsia="Times New Roman" w:cs="Times New Roman"/>
          <w:sz w:val="20"/>
        </w:rPr>
        <w:t>Only the 36 formal trials are used in the results below; pilot calibration runs are excluded. Error bars in the figures show the sample standard deviation across the three repetitions. Given the small n=3 groups, the comparisons are presented as descriptive observations rather than statistically significant population effects.</w:t>
      </w:r>
    </w:p>
    <w:p w14:paraId="2A22FA6C">
      <w:pPr>
        <w:keepNext/>
        <w:spacing w:before="80" w:after="60"/>
        <w:jc w:val="center"/>
      </w:pPr>
      <w:r>
        <w:rPr>
          <w:rFonts w:ascii="Times New Roman" w:hAnsi="Times New Roman" w:eastAsia="Times New Roman" w:cs="Times New Roman"/>
          <w:b/>
          <w:sz w:val="20"/>
        </w:rPr>
        <w:t>Table 3. Performance Comparison</w:t>
      </w:r>
    </w:p>
    <w:tbl>
      <w:tblPr>
        <w:tblStyle w:val="35"/>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897"/>
        <w:gridCol w:w="897"/>
        <w:gridCol w:w="897"/>
        <w:gridCol w:w="897"/>
        <w:gridCol w:w="897"/>
        <w:gridCol w:w="897"/>
        <w:gridCol w:w="897"/>
        <w:gridCol w:w="897"/>
        <w:gridCol w:w="901"/>
        <w:gridCol w:w="901"/>
        <w:gridCol w:w="948"/>
      </w:tblGrid>
      <w:tr w14:paraId="4B428C4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cantSplit/>
          <w:tblHeader/>
          <w:jc w:val="center"/>
        </w:trPr>
        <w:tc>
          <w:tcPr>
            <w:tcW w:w="897" w:type="dxa"/>
            <w:shd w:val="clear" w:color="auto" w:fill="E7E6E6"/>
            <w:vAlign w:val="center"/>
          </w:tcPr>
          <w:p w14:paraId="6105B7E6">
            <w:pPr>
              <w:spacing w:before="0" w:after="0" w:line="240" w:lineRule="auto"/>
              <w:jc w:val="left"/>
            </w:pPr>
            <w:r>
              <w:rPr>
                <w:rFonts w:ascii="Times New Roman" w:hAnsi="Times New Roman" w:eastAsia="Times New Roman" w:cs="Times New Roman"/>
                <w:b/>
                <w:sz w:val="14"/>
              </w:rPr>
              <w:t>Workload</w:t>
            </w:r>
          </w:p>
        </w:tc>
        <w:tc>
          <w:tcPr>
            <w:tcW w:w="897" w:type="dxa"/>
            <w:shd w:val="clear" w:color="auto" w:fill="E7E6E6"/>
            <w:vAlign w:val="center"/>
          </w:tcPr>
          <w:p w14:paraId="3D1D4538">
            <w:pPr>
              <w:spacing w:before="0" w:after="0" w:line="240" w:lineRule="auto"/>
              <w:jc w:val="left"/>
            </w:pPr>
            <w:r>
              <w:rPr>
                <w:rFonts w:ascii="Times New Roman" w:hAnsi="Times New Roman" w:eastAsia="Times New Roman" w:cs="Times New Roman"/>
                <w:b/>
                <w:sz w:val="14"/>
              </w:rPr>
              <w:t>EC2 mean latency (ms)</w:t>
            </w:r>
          </w:p>
        </w:tc>
        <w:tc>
          <w:tcPr>
            <w:tcW w:w="897" w:type="dxa"/>
            <w:shd w:val="clear" w:color="auto" w:fill="E7E6E6"/>
            <w:vAlign w:val="center"/>
          </w:tcPr>
          <w:p w14:paraId="7E67B698">
            <w:pPr>
              <w:spacing w:before="0" w:after="0" w:line="240" w:lineRule="auto"/>
              <w:jc w:val="center"/>
            </w:pPr>
            <w:r>
              <w:rPr>
                <w:rFonts w:ascii="Times New Roman" w:hAnsi="Times New Roman" w:eastAsia="Times New Roman" w:cs="Times New Roman"/>
                <w:b/>
                <w:sz w:val="14"/>
              </w:rPr>
              <w:t>Serverless mean latency (ms)</w:t>
            </w:r>
          </w:p>
        </w:tc>
        <w:tc>
          <w:tcPr>
            <w:tcW w:w="897" w:type="dxa"/>
            <w:shd w:val="clear" w:color="auto" w:fill="E7E6E6"/>
            <w:vAlign w:val="center"/>
          </w:tcPr>
          <w:p w14:paraId="388E5141">
            <w:pPr>
              <w:spacing w:before="0" w:after="0" w:line="240" w:lineRule="auto"/>
              <w:jc w:val="center"/>
            </w:pPr>
            <w:r>
              <w:rPr>
                <w:rFonts w:ascii="Times New Roman" w:hAnsi="Times New Roman" w:eastAsia="Times New Roman" w:cs="Times New Roman"/>
                <w:b/>
                <w:sz w:val="14"/>
              </w:rPr>
              <w:t>Latency Δ</w:t>
            </w:r>
          </w:p>
        </w:tc>
        <w:tc>
          <w:tcPr>
            <w:tcW w:w="897" w:type="dxa"/>
            <w:shd w:val="clear" w:color="auto" w:fill="E7E6E6"/>
            <w:vAlign w:val="center"/>
          </w:tcPr>
          <w:p w14:paraId="7D94D4E2">
            <w:pPr>
              <w:spacing w:before="0" w:after="0" w:line="240" w:lineRule="auto"/>
              <w:jc w:val="center"/>
            </w:pPr>
            <w:r>
              <w:rPr>
                <w:rFonts w:ascii="Times New Roman" w:hAnsi="Times New Roman" w:eastAsia="Times New Roman" w:cs="Times New Roman"/>
                <w:b/>
                <w:sz w:val="14"/>
              </w:rPr>
              <w:t>EC2 P95 (ms)</w:t>
            </w:r>
          </w:p>
        </w:tc>
        <w:tc>
          <w:tcPr>
            <w:tcW w:w="897" w:type="dxa"/>
            <w:shd w:val="clear" w:color="auto" w:fill="E7E6E6"/>
            <w:vAlign w:val="center"/>
          </w:tcPr>
          <w:p w14:paraId="1B8F1EDB">
            <w:pPr>
              <w:spacing w:before="0" w:after="0" w:line="240" w:lineRule="auto"/>
              <w:jc w:val="center"/>
            </w:pPr>
            <w:r>
              <w:rPr>
                <w:rFonts w:ascii="Times New Roman" w:hAnsi="Times New Roman" w:eastAsia="Times New Roman" w:cs="Times New Roman"/>
                <w:b/>
                <w:sz w:val="14"/>
              </w:rPr>
              <w:t>Serverless P95 (ms)</w:t>
            </w:r>
          </w:p>
        </w:tc>
        <w:tc>
          <w:tcPr>
            <w:tcW w:w="897" w:type="dxa"/>
            <w:shd w:val="clear" w:color="auto" w:fill="E7E6E6"/>
            <w:vAlign w:val="center"/>
          </w:tcPr>
          <w:p w14:paraId="6E83DA8F">
            <w:pPr>
              <w:spacing w:before="0" w:after="0" w:line="240" w:lineRule="auto"/>
              <w:jc w:val="center"/>
            </w:pPr>
            <w:r>
              <w:rPr>
                <w:rFonts w:ascii="Times New Roman" w:hAnsi="Times New Roman" w:eastAsia="Times New Roman" w:cs="Times New Roman"/>
                <w:b/>
                <w:sz w:val="14"/>
              </w:rPr>
              <w:t>EC2 P99 (ms)</w:t>
            </w:r>
          </w:p>
        </w:tc>
        <w:tc>
          <w:tcPr>
            <w:tcW w:w="897" w:type="dxa"/>
            <w:shd w:val="clear" w:color="auto" w:fill="E7E6E6"/>
            <w:vAlign w:val="center"/>
          </w:tcPr>
          <w:p w14:paraId="6075B8DC">
            <w:pPr>
              <w:spacing w:before="0" w:after="0" w:line="240" w:lineRule="auto"/>
              <w:jc w:val="center"/>
            </w:pPr>
            <w:r>
              <w:rPr>
                <w:rFonts w:ascii="Times New Roman" w:hAnsi="Times New Roman" w:eastAsia="Times New Roman" w:cs="Times New Roman"/>
                <w:b/>
                <w:sz w:val="14"/>
              </w:rPr>
              <w:t>Serverless P99 (ms)</w:t>
            </w:r>
          </w:p>
        </w:tc>
        <w:tc>
          <w:tcPr>
            <w:tcW w:w="897" w:type="dxa"/>
            <w:shd w:val="clear" w:color="auto" w:fill="E7E6E6"/>
            <w:vAlign w:val="center"/>
          </w:tcPr>
          <w:p w14:paraId="0ABCF42C">
            <w:pPr>
              <w:spacing w:before="0" w:after="0" w:line="240" w:lineRule="auto"/>
              <w:jc w:val="center"/>
            </w:pPr>
            <w:r>
              <w:rPr>
                <w:rFonts w:ascii="Times New Roman" w:hAnsi="Times New Roman" w:eastAsia="Times New Roman" w:cs="Times New Roman"/>
                <w:b/>
                <w:sz w:val="14"/>
              </w:rPr>
              <w:t>EC2 throughput (req/s)</w:t>
            </w:r>
          </w:p>
        </w:tc>
        <w:tc>
          <w:tcPr>
            <w:tcW w:w="897" w:type="dxa"/>
            <w:shd w:val="clear" w:color="auto" w:fill="E7E6E6"/>
            <w:vAlign w:val="center"/>
          </w:tcPr>
          <w:p w14:paraId="33959F28">
            <w:pPr>
              <w:spacing w:before="0" w:after="0" w:line="240" w:lineRule="auto"/>
              <w:jc w:val="center"/>
            </w:pPr>
            <w:r>
              <w:rPr>
                <w:rFonts w:ascii="Times New Roman" w:hAnsi="Times New Roman" w:eastAsia="Times New Roman" w:cs="Times New Roman"/>
                <w:b/>
                <w:sz w:val="14"/>
              </w:rPr>
              <w:t>Serverless throughput (req/s)</w:t>
            </w:r>
          </w:p>
        </w:tc>
        <w:tc>
          <w:tcPr>
            <w:tcW w:w="897" w:type="dxa"/>
            <w:shd w:val="clear" w:color="auto" w:fill="E7E6E6"/>
            <w:vAlign w:val="center"/>
          </w:tcPr>
          <w:p w14:paraId="74FF867A">
            <w:pPr>
              <w:spacing w:before="0" w:after="0" w:line="240" w:lineRule="auto"/>
              <w:jc w:val="center"/>
            </w:pPr>
            <w:r>
              <w:rPr>
                <w:rFonts w:ascii="Times New Roman" w:hAnsi="Times New Roman" w:eastAsia="Times New Roman" w:cs="Times New Roman"/>
                <w:b/>
                <w:sz w:val="14"/>
              </w:rPr>
              <w:t>Throughput Δ</w:t>
            </w:r>
          </w:p>
        </w:tc>
      </w:tr>
      <w:tr w14:paraId="40B53C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897" w:type="dxa"/>
            <w:vAlign w:val="center"/>
          </w:tcPr>
          <w:p w14:paraId="49CC77B9">
            <w:pPr>
              <w:spacing w:before="0" w:after="0" w:line="240" w:lineRule="auto"/>
              <w:jc w:val="left"/>
            </w:pPr>
            <w:r>
              <w:rPr>
                <w:rFonts w:ascii="Times New Roman" w:hAnsi="Times New Roman" w:eastAsia="Times New Roman" w:cs="Times New Roman"/>
                <w:b w:val="0"/>
                <w:sz w:val="14"/>
              </w:rPr>
              <w:t>W01</w:t>
            </w:r>
          </w:p>
        </w:tc>
        <w:tc>
          <w:tcPr>
            <w:tcW w:w="897" w:type="dxa"/>
            <w:vAlign w:val="center"/>
          </w:tcPr>
          <w:p w14:paraId="1F216F03">
            <w:pPr>
              <w:spacing w:before="0" w:after="0" w:line="240" w:lineRule="auto"/>
              <w:jc w:val="left"/>
            </w:pPr>
            <w:r>
              <w:rPr>
                <w:rFonts w:ascii="Times New Roman" w:hAnsi="Times New Roman" w:eastAsia="Times New Roman" w:cs="Times New Roman"/>
                <w:b w:val="0"/>
                <w:sz w:val="14"/>
              </w:rPr>
              <w:t>123.19</w:t>
            </w:r>
          </w:p>
        </w:tc>
        <w:tc>
          <w:tcPr>
            <w:tcW w:w="897" w:type="dxa"/>
            <w:vAlign w:val="center"/>
          </w:tcPr>
          <w:p w14:paraId="6E17A470">
            <w:pPr>
              <w:spacing w:before="0" w:after="0" w:line="240" w:lineRule="auto"/>
              <w:jc w:val="center"/>
            </w:pPr>
            <w:r>
              <w:rPr>
                <w:rFonts w:ascii="Times New Roman" w:hAnsi="Times New Roman" w:eastAsia="Times New Roman" w:cs="Times New Roman"/>
                <w:b w:val="0"/>
                <w:sz w:val="14"/>
              </w:rPr>
              <w:t>126.04</w:t>
            </w:r>
          </w:p>
        </w:tc>
        <w:tc>
          <w:tcPr>
            <w:tcW w:w="897" w:type="dxa"/>
            <w:vAlign w:val="center"/>
          </w:tcPr>
          <w:p w14:paraId="25C5F42F">
            <w:pPr>
              <w:spacing w:before="0" w:after="0" w:line="240" w:lineRule="auto"/>
              <w:jc w:val="center"/>
            </w:pPr>
            <w:r>
              <w:rPr>
                <w:rFonts w:ascii="Times New Roman" w:hAnsi="Times New Roman" w:eastAsia="Times New Roman" w:cs="Times New Roman"/>
                <w:b w:val="0"/>
                <w:sz w:val="14"/>
              </w:rPr>
              <w:t>+2.3%</w:t>
            </w:r>
          </w:p>
        </w:tc>
        <w:tc>
          <w:tcPr>
            <w:tcW w:w="897" w:type="dxa"/>
            <w:vAlign w:val="center"/>
          </w:tcPr>
          <w:p w14:paraId="5A7BE22A">
            <w:pPr>
              <w:spacing w:before="0" w:after="0" w:line="240" w:lineRule="auto"/>
              <w:jc w:val="center"/>
            </w:pPr>
            <w:r>
              <w:rPr>
                <w:rFonts w:ascii="Times New Roman" w:hAnsi="Times New Roman" w:eastAsia="Times New Roman" w:cs="Times New Roman"/>
                <w:b w:val="0"/>
                <w:sz w:val="14"/>
              </w:rPr>
              <w:t>196.67</w:t>
            </w:r>
          </w:p>
        </w:tc>
        <w:tc>
          <w:tcPr>
            <w:tcW w:w="897" w:type="dxa"/>
            <w:vAlign w:val="center"/>
          </w:tcPr>
          <w:p w14:paraId="012D73EE">
            <w:pPr>
              <w:spacing w:before="0" w:after="0" w:line="240" w:lineRule="auto"/>
              <w:jc w:val="center"/>
            </w:pPr>
            <w:r>
              <w:rPr>
                <w:rFonts w:ascii="Times New Roman" w:hAnsi="Times New Roman" w:eastAsia="Times New Roman" w:cs="Times New Roman"/>
                <w:b w:val="0"/>
                <w:sz w:val="14"/>
              </w:rPr>
              <w:t>163.33</w:t>
            </w:r>
          </w:p>
        </w:tc>
        <w:tc>
          <w:tcPr>
            <w:tcW w:w="897" w:type="dxa"/>
            <w:vAlign w:val="center"/>
          </w:tcPr>
          <w:p w14:paraId="49D91DAA">
            <w:pPr>
              <w:spacing w:before="0" w:after="0" w:line="240" w:lineRule="auto"/>
              <w:jc w:val="center"/>
            </w:pPr>
            <w:r>
              <w:rPr>
                <w:rFonts w:ascii="Times New Roman" w:hAnsi="Times New Roman" w:eastAsia="Times New Roman" w:cs="Times New Roman"/>
                <w:b w:val="0"/>
                <w:sz w:val="14"/>
              </w:rPr>
              <w:t>390.00</w:t>
            </w:r>
          </w:p>
        </w:tc>
        <w:tc>
          <w:tcPr>
            <w:tcW w:w="897" w:type="dxa"/>
            <w:vAlign w:val="center"/>
          </w:tcPr>
          <w:p w14:paraId="61D8F2E2">
            <w:pPr>
              <w:spacing w:before="0" w:after="0" w:line="240" w:lineRule="auto"/>
              <w:jc w:val="center"/>
            </w:pPr>
            <w:r>
              <w:rPr>
                <w:rFonts w:ascii="Times New Roman" w:hAnsi="Times New Roman" w:eastAsia="Times New Roman" w:cs="Times New Roman"/>
                <w:b w:val="0"/>
                <w:sz w:val="14"/>
              </w:rPr>
              <w:t>363.33</w:t>
            </w:r>
          </w:p>
        </w:tc>
        <w:tc>
          <w:tcPr>
            <w:tcW w:w="897" w:type="dxa"/>
            <w:vAlign w:val="center"/>
          </w:tcPr>
          <w:p w14:paraId="6A977CB7">
            <w:pPr>
              <w:spacing w:before="0" w:after="0" w:line="240" w:lineRule="auto"/>
              <w:jc w:val="center"/>
            </w:pPr>
            <w:r>
              <w:rPr>
                <w:rFonts w:ascii="Times New Roman" w:hAnsi="Times New Roman" w:eastAsia="Times New Roman" w:cs="Times New Roman"/>
                <w:b w:val="0"/>
                <w:sz w:val="14"/>
              </w:rPr>
              <w:t>10.10</w:t>
            </w:r>
          </w:p>
        </w:tc>
        <w:tc>
          <w:tcPr>
            <w:tcW w:w="897" w:type="dxa"/>
            <w:vAlign w:val="center"/>
          </w:tcPr>
          <w:p w14:paraId="76498A90">
            <w:pPr>
              <w:spacing w:before="0" w:after="0" w:line="240" w:lineRule="auto"/>
              <w:jc w:val="center"/>
            </w:pPr>
            <w:r>
              <w:rPr>
                <w:rFonts w:ascii="Times New Roman" w:hAnsi="Times New Roman" w:eastAsia="Times New Roman" w:cs="Times New Roman"/>
                <w:b w:val="0"/>
                <w:sz w:val="14"/>
              </w:rPr>
              <w:t>10.05</w:t>
            </w:r>
          </w:p>
        </w:tc>
        <w:tc>
          <w:tcPr>
            <w:tcW w:w="897" w:type="dxa"/>
            <w:vAlign w:val="center"/>
          </w:tcPr>
          <w:p w14:paraId="6D9BA313">
            <w:pPr>
              <w:spacing w:before="0" w:after="0" w:line="240" w:lineRule="auto"/>
              <w:jc w:val="center"/>
            </w:pPr>
            <w:r>
              <w:rPr>
                <w:rFonts w:ascii="Times New Roman" w:hAnsi="Times New Roman" w:eastAsia="Times New Roman" w:cs="Times New Roman"/>
                <w:b w:val="0"/>
                <w:sz w:val="14"/>
              </w:rPr>
              <w:t>-0.4%</w:t>
            </w:r>
          </w:p>
        </w:tc>
      </w:tr>
      <w:tr w14:paraId="58D7A67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897" w:type="dxa"/>
            <w:shd w:val="clear" w:color="auto" w:fill="F7F7F7"/>
            <w:vAlign w:val="center"/>
          </w:tcPr>
          <w:p w14:paraId="55FED47B">
            <w:pPr>
              <w:spacing w:before="0" w:after="0" w:line="240" w:lineRule="auto"/>
              <w:jc w:val="left"/>
            </w:pPr>
            <w:r>
              <w:rPr>
                <w:rFonts w:ascii="Times New Roman" w:hAnsi="Times New Roman" w:eastAsia="Times New Roman" w:cs="Times New Roman"/>
                <w:b w:val="0"/>
                <w:sz w:val="14"/>
              </w:rPr>
              <w:t>W02</w:t>
            </w:r>
          </w:p>
        </w:tc>
        <w:tc>
          <w:tcPr>
            <w:tcW w:w="897" w:type="dxa"/>
            <w:shd w:val="clear" w:color="auto" w:fill="F7F7F7"/>
            <w:vAlign w:val="center"/>
          </w:tcPr>
          <w:p w14:paraId="63574CDC">
            <w:pPr>
              <w:spacing w:before="0" w:after="0" w:line="240" w:lineRule="auto"/>
              <w:jc w:val="left"/>
            </w:pPr>
            <w:r>
              <w:rPr>
                <w:rFonts w:ascii="Times New Roman" w:hAnsi="Times New Roman" w:eastAsia="Times New Roman" w:cs="Times New Roman"/>
                <w:b w:val="0"/>
                <w:sz w:val="14"/>
              </w:rPr>
              <w:t>200.09</w:t>
            </w:r>
          </w:p>
        </w:tc>
        <w:tc>
          <w:tcPr>
            <w:tcW w:w="897" w:type="dxa"/>
            <w:shd w:val="clear" w:color="auto" w:fill="F7F7F7"/>
            <w:vAlign w:val="center"/>
          </w:tcPr>
          <w:p w14:paraId="2979F24E">
            <w:pPr>
              <w:spacing w:before="0" w:after="0" w:line="240" w:lineRule="auto"/>
              <w:jc w:val="center"/>
            </w:pPr>
            <w:r>
              <w:rPr>
                <w:rFonts w:ascii="Times New Roman" w:hAnsi="Times New Roman" w:eastAsia="Times New Roman" w:cs="Times New Roman"/>
                <w:b w:val="0"/>
                <w:sz w:val="14"/>
              </w:rPr>
              <w:t>174.43</w:t>
            </w:r>
          </w:p>
        </w:tc>
        <w:tc>
          <w:tcPr>
            <w:tcW w:w="897" w:type="dxa"/>
            <w:shd w:val="clear" w:color="auto" w:fill="F7F7F7"/>
            <w:vAlign w:val="center"/>
          </w:tcPr>
          <w:p w14:paraId="40F112C8">
            <w:pPr>
              <w:spacing w:before="0" w:after="0" w:line="240" w:lineRule="auto"/>
              <w:jc w:val="center"/>
            </w:pPr>
            <w:r>
              <w:rPr>
                <w:rFonts w:ascii="Times New Roman" w:hAnsi="Times New Roman" w:eastAsia="Times New Roman" w:cs="Times New Roman"/>
                <w:b w:val="0"/>
                <w:sz w:val="14"/>
              </w:rPr>
              <w:t>-12.8%</w:t>
            </w:r>
          </w:p>
        </w:tc>
        <w:tc>
          <w:tcPr>
            <w:tcW w:w="897" w:type="dxa"/>
            <w:shd w:val="clear" w:color="auto" w:fill="F7F7F7"/>
            <w:vAlign w:val="center"/>
          </w:tcPr>
          <w:p w14:paraId="667E6541">
            <w:pPr>
              <w:spacing w:before="0" w:after="0" w:line="240" w:lineRule="auto"/>
              <w:jc w:val="center"/>
            </w:pPr>
            <w:r>
              <w:rPr>
                <w:rFonts w:ascii="Times New Roman" w:hAnsi="Times New Roman" w:eastAsia="Times New Roman" w:cs="Times New Roman"/>
                <w:b w:val="0"/>
                <w:sz w:val="14"/>
              </w:rPr>
              <w:t>730.00</w:t>
            </w:r>
          </w:p>
        </w:tc>
        <w:tc>
          <w:tcPr>
            <w:tcW w:w="897" w:type="dxa"/>
            <w:shd w:val="clear" w:color="auto" w:fill="F7F7F7"/>
            <w:vAlign w:val="center"/>
          </w:tcPr>
          <w:p w14:paraId="36AE882B">
            <w:pPr>
              <w:spacing w:before="0" w:after="0" w:line="240" w:lineRule="auto"/>
              <w:jc w:val="center"/>
            </w:pPr>
            <w:r>
              <w:rPr>
                <w:rFonts w:ascii="Times New Roman" w:hAnsi="Times New Roman" w:eastAsia="Times New Roman" w:cs="Times New Roman"/>
                <w:b w:val="0"/>
                <w:sz w:val="14"/>
              </w:rPr>
              <w:t>426.67</w:t>
            </w:r>
          </w:p>
        </w:tc>
        <w:tc>
          <w:tcPr>
            <w:tcW w:w="897" w:type="dxa"/>
            <w:shd w:val="clear" w:color="auto" w:fill="F7F7F7"/>
            <w:vAlign w:val="center"/>
          </w:tcPr>
          <w:p w14:paraId="779AFDA4">
            <w:pPr>
              <w:spacing w:before="0" w:after="0" w:line="240" w:lineRule="auto"/>
              <w:jc w:val="center"/>
            </w:pPr>
            <w:r>
              <w:rPr>
                <w:rFonts w:ascii="Times New Roman" w:hAnsi="Times New Roman" w:eastAsia="Times New Roman" w:cs="Times New Roman"/>
                <w:b w:val="0"/>
                <w:sz w:val="14"/>
              </w:rPr>
              <w:t>1326.67</w:t>
            </w:r>
          </w:p>
        </w:tc>
        <w:tc>
          <w:tcPr>
            <w:tcW w:w="897" w:type="dxa"/>
            <w:shd w:val="clear" w:color="auto" w:fill="F7F7F7"/>
            <w:vAlign w:val="center"/>
          </w:tcPr>
          <w:p w14:paraId="48319353">
            <w:pPr>
              <w:spacing w:before="0" w:after="0" w:line="240" w:lineRule="auto"/>
              <w:jc w:val="center"/>
            </w:pPr>
            <w:r>
              <w:rPr>
                <w:rFonts w:ascii="Times New Roman" w:hAnsi="Times New Roman" w:eastAsia="Times New Roman" w:cs="Times New Roman"/>
                <w:b w:val="0"/>
                <w:sz w:val="14"/>
              </w:rPr>
              <w:t>733.33</w:t>
            </w:r>
          </w:p>
        </w:tc>
        <w:tc>
          <w:tcPr>
            <w:tcW w:w="897" w:type="dxa"/>
            <w:shd w:val="clear" w:color="auto" w:fill="F7F7F7"/>
            <w:vAlign w:val="center"/>
          </w:tcPr>
          <w:p w14:paraId="3DBFE221">
            <w:pPr>
              <w:spacing w:before="0" w:after="0" w:line="240" w:lineRule="auto"/>
              <w:jc w:val="center"/>
            </w:pPr>
            <w:r>
              <w:rPr>
                <w:rFonts w:ascii="Times New Roman" w:hAnsi="Times New Roman" w:eastAsia="Times New Roman" w:cs="Times New Roman"/>
                <w:b w:val="0"/>
                <w:sz w:val="14"/>
              </w:rPr>
              <w:t>26.70</w:t>
            </w:r>
          </w:p>
        </w:tc>
        <w:tc>
          <w:tcPr>
            <w:tcW w:w="897" w:type="dxa"/>
            <w:shd w:val="clear" w:color="auto" w:fill="F7F7F7"/>
            <w:vAlign w:val="center"/>
          </w:tcPr>
          <w:p w14:paraId="26F933F2">
            <w:pPr>
              <w:spacing w:before="0" w:after="0" w:line="240" w:lineRule="auto"/>
              <w:jc w:val="center"/>
            </w:pPr>
            <w:r>
              <w:rPr>
                <w:rFonts w:ascii="Times New Roman" w:hAnsi="Times New Roman" w:eastAsia="Times New Roman" w:cs="Times New Roman"/>
                <w:b w:val="0"/>
                <w:sz w:val="14"/>
              </w:rPr>
              <w:t>27.59</w:t>
            </w:r>
          </w:p>
        </w:tc>
        <w:tc>
          <w:tcPr>
            <w:tcW w:w="897" w:type="dxa"/>
            <w:shd w:val="clear" w:color="auto" w:fill="F7F7F7"/>
            <w:vAlign w:val="center"/>
          </w:tcPr>
          <w:p w14:paraId="34B90176">
            <w:pPr>
              <w:spacing w:before="0" w:after="0" w:line="240" w:lineRule="auto"/>
              <w:jc w:val="center"/>
            </w:pPr>
            <w:r>
              <w:rPr>
                <w:rFonts w:ascii="Times New Roman" w:hAnsi="Times New Roman" w:eastAsia="Times New Roman" w:cs="Times New Roman"/>
                <w:b w:val="0"/>
                <w:sz w:val="14"/>
              </w:rPr>
              <w:t>+3.3%</w:t>
            </w:r>
          </w:p>
        </w:tc>
      </w:tr>
      <w:tr w14:paraId="6EB299B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897" w:type="dxa"/>
            <w:vAlign w:val="center"/>
          </w:tcPr>
          <w:p w14:paraId="52620473">
            <w:pPr>
              <w:spacing w:before="0" w:after="0" w:line="240" w:lineRule="auto"/>
              <w:jc w:val="left"/>
            </w:pPr>
            <w:r>
              <w:rPr>
                <w:rFonts w:ascii="Times New Roman" w:hAnsi="Times New Roman" w:eastAsia="Times New Roman" w:cs="Times New Roman"/>
                <w:b w:val="0"/>
                <w:sz w:val="14"/>
              </w:rPr>
              <w:t>W03</w:t>
            </w:r>
          </w:p>
        </w:tc>
        <w:tc>
          <w:tcPr>
            <w:tcW w:w="897" w:type="dxa"/>
            <w:vAlign w:val="center"/>
          </w:tcPr>
          <w:p w14:paraId="756EA7D7">
            <w:pPr>
              <w:spacing w:before="0" w:after="0" w:line="240" w:lineRule="auto"/>
              <w:jc w:val="left"/>
            </w:pPr>
            <w:r>
              <w:rPr>
                <w:rFonts w:ascii="Times New Roman" w:hAnsi="Times New Roman" w:eastAsia="Times New Roman" w:cs="Times New Roman"/>
                <w:b w:val="0"/>
                <w:sz w:val="14"/>
              </w:rPr>
              <w:t>341.52</w:t>
            </w:r>
          </w:p>
        </w:tc>
        <w:tc>
          <w:tcPr>
            <w:tcW w:w="897" w:type="dxa"/>
            <w:vAlign w:val="center"/>
          </w:tcPr>
          <w:p w14:paraId="23CF9E93">
            <w:pPr>
              <w:spacing w:before="0" w:after="0" w:line="240" w:lineRule="auto"/>
              <w:jc w:val="center"/>
            </w:pPr>
            <w:r>
              <w:rPr>
                <w:rFonts w:ascii="Times New Roman" w:hAnsi="Times New Roman" w:eastAsia="Times New Roman" w:cs="Times New Roman"/>
                <w:b w:val="0"/>
                <w:sz w:val="14"/>
              </w:rPr>
              <w:t>325.82</w:t>
            </w:r>
          </w:p>
        </w:tc>
        <w:tc>
          <w:tcPr>
            <w:tcW w:w="897" w:type="dxa"/>
            <w:vAlign w:val="center"/>
          </w:tcPr>
          <w:p w14:paraId="647BBB34">
            <w:pPr>
              <w:spacing w:before="0" w:after="0" w:line="240" w:lineRule="auto"/>
              <w:jc w:val="center"/>
            </w:pPr>
            <w:r>
              <w:rPr>
                <w:rFonts w:ascii="Times New Roman" w:hAnsi="Times New Roman" w:eastAsia="Times New Roman" w:cs="Times New Roman"/>
                <w:b w:val="0"/>
                <w:sz w:val="14"/>
              </w:rPr>
              <w:t>-4.6%</w:t>
            </w:r>
          </w:p>
        </w:tc>
        <w:tc>
          <w:tcPr>
            <w:tcW w:w="897" w:type="dxa"/>
            <w:vAlign w:val="center"/>
          </w:tcPr>
          <w:p w14:paraId="13910580">
            <w:pPr>
              <w:spacing w:before="0" w:after="0" w:line="240" w:lineRule="auto"/>
              <w:jc w:val="center"/>
            </w:pPr>
            <w:r>
              <w:rPr>
                <w:rFonts w:ascii="Times New Roman" w:hAnsi="Times New Roman" w:eastAsia="Times New Roman" w:cs="Times New Roman"/>
                <w:b w:val="0"/>
                <w:sz w:val="14"/>
              </w:rPr>
              <w:t>720.00</w:t>
            </w:r>
          </w:p>
        </w:tc>
        <w:tc>
          <w:tcPr>
            <w:tcW w:w="897" w:type="dxa"/>
            <w:vAlign w:val="center"/>
          </w:tcPr>
          <w:p w14:paraId="7C44FF95">
            <w:pPr>
              <w:spacing w:before="0" w:after="0" w:line="240" w:lineRule="auto"/>
              <w:jc w:val="center"/>
            </w:pPr>
            <w:r>
              <w:rPr>
                <w:rFonts w:ascii="Times New Roman" w:hAnsi="Times New Roman" w:eastAsia="Times New Roman" w:cs="Times New Roman"/>
                <w:b w:val="0"/>
                <w:sz w:val="14"/>
              </w:rPr>
              <w:t>570.00</w:t>
            </w:r>
          </w:p>
        </w:tc>
        <w:tc>
          <w:tcPr>
            <w:tcW w:w="897" w:type="dxa"/>
            <w:vAlign w:val="center"/>
          </w:tcPr>
          <w:p w14:paraId="0F983E5E">
            <w:pPr>
              <w:spacing w:before="0" w:after="0" w:line="240" w:lineRule="auto"/>
              <w:jc w:val="center"/>
            </w:pPr>
            <w:r>
              <w:rPr>
                <w:rFonts w:ascii="Times New Roman" w:hAnsi="Times New Roman" w:eastAsia="Times New Roman" w:cs="Times New Roman"/>
                <w:b w:val="0"/>
                <w:sz w:val="14"/>
              </w:rPr>
              <w:t>1380.00</w:t>
            </w:r>
          </w:p>
        </w:tc>
        <w:tc>
          <w:tcPr>
            <w:tcW w:w="897" w:type="dxa"/>
            <w:vAlign w:val="center"/>
          </w:tcPr>
          <w:p w14:paraId="47DCAE87">
            <w:pPr>
              <w:spacing w:before="0" w:after="0" w:line="240" w:lineRule="auto"/>
              <w:jc w:val="center"/>
            </w:pPr>
            <w:r>
              <w:rPr>
                <w:rFonts w:ascii="Times New Roman" w:hAnsi="Times New Roman" w:eastAsia="Times New Roman" w:cs="Times New Roman"/>
                <w:b w:val="0"/>
                <w:sz w:val="14"/>
              </w:rPr>
              <w:t>1276.67</w:t>
            </w:r>
          </w:p>
        </w:tc>
        <w:tc>
          <w:tcPr>
            <w:tcW w:w="897" w:type="dxa"/>
            <w:vAlign w:val="center"/>
          </w:tcPr>
          <w:p w14:paraId="1A9D5D06">
            <w:pPr>
              <w:spacing w:before="0" w:after="0" w:line="240" w:lineRule="auto"/>
              <w:jc w:val="center"/>
            </w:pPr>
            <w:r>
              <w:rPr>
                <w:rFonts w:ascii="Times New Roman" w:hAnsi="Times New Roman" w:eastAsia="Times New Roman" w:cs="Times New Roman"/>
                <w:b w:val="0"/>
                <w:sz w:val="14"/>
              </w:rPr>
              <w:t>43.72</w:t>
            </w:r>
          </w:p>
        </w:tc>
        <w:tc>
          <w:tcPr>
            <w:tcW w:w="897" w:type="dxa"/>
            <w:vAlign w:val="center"/>
          </w:tcPr>
          <w:p w14:paraId="285BAAB5">
            <w:pPr>
              <w:spacing w:before="0" w:after="0" w:line="240" w:lineRule="auto"/>
              <w:jc w:val="center"/>
            </w:pPr>
            <w:r>
              <w:rPr>
                <w:rFonts w:ascii="Times New Roman" w:hAnsi="Times New Roman" w:eastAsia="Times New Roman" w:cs="Times New Roman"/>
                <w:b w:val="0"/>
                <w:sz w:val="14"/>
              </w:rPr>
              <w:t>40.00</w:t>
            </w:r>
          </w:p>
        </w:tc>
        <w:tc>
          <w:tcPr>
            <w:tcW w:w="897" w:type="dxa"/>
            <w:vAlign w:val="center"/>
          </w:tcPr>
          <w:p w14:paraId="565D1FFC">
            <w:pPr>
              <w:spacing w:before="0" w:after="0" w:line="240" w:lineRule="auto"/>
              <w:jc w:val="center"/>
            </w:pPr>
            <w:r>
              <w:rPr>
                <w:rFonts w:ascii="Times New Roman" w:hAnsi="Times New Roman" w:eastAsia="Times New Roman" w:cs="Times New Roman"/>
                <w:b w:val="0"/>
                <w:sz w:val="14"/>
              </w:rPr>
              <w:t>-8.5%</w:t>
            </w:r>
          </w:p>
        </w:tc>
      </w:tr>
      <w:tr w14:paraId="495902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897" w:type="dxa"/>
            <w:shd w:val="clear" w:color="auto" w:fill="F7F7F7"/>
            <w:vAlign w:val="center"/>
          </w:tcPr>
          <w:p w14:paraId="7C3A7F26">
            <w:pPr>
              <w:spacing w:before="0" w:after="0" w:line="240" w:lineRule="auto"/>
              <w:jc w:val="left"/>
            </w:pPr>
            <w:r>
              <w:rPr>
                <w:rFonts w:ascii="Times New Roman" w:hAnsi="Times New Roman" w:eastAsia="Times New Roman" w:cs="Times New Roman"/>
                <w:b w:val="0"/>
                <w:sz w:val="14"/>
              </w:rPr>
              <w:t>W04</w:t>
            </w:r>
          </w:p>
        </w:tc>
        <w:tc>
          <w:tcPr>
            <w:tcW w:w="897" w:type="dxa"/>
            <w:shd w:val="clear" w:color="auto" w:fill="F7F7F7"/>
            <w:vAlign w:val="center"/>
          </w:tcPr>
          <w:p w14:paraId="2A9BFF59">
            <w:pPr>
              <w:spacing w:before="0" w:after="0" w:line="240" w:lineRule="auto"/>
              <w:jc w:val="left"/>
            </w:pPr>
            <w:r>
              <w:rPr>
                <w:rFonts w:ascii="Times New Roman" w:hAnsi="Times New Roman" w:eastAsia="Times New Roman" w:cs="Times New Roman"/>
                <w:b w:val="0"/>
                <w:sz w:val="14"/>
              </w:rPr>
              <w:t>225.00</w:t>
            </w:r>
          </w:p>
        </w:tc>
        <w:tc>
          <w:tcPr>
            <w:tcW w:w="897" w:type="dxa"/>
            <w:shd w:val="clear" w:color="auto" w:fill="F7F7F7"/>
            <w:vAlign w:val="center"/>
          </w:tcPr>
          <w:p w14:paraId="7A9F95F5">
            <w:pPr>
              <w:spacing w:before="0" w:after="0" w:line="240" w:lineRule="auto"/>
              <w:jc w:val="center"/>
            </w:pPr>
            <w:r>
              <w:rPr>
                <w:rFonts w:ascii="Times New Roman" w:hAnsi="Times New Roman" w:eastAsia="Times New Roman" w:cs="Times New Roman"/>
                <w:b w:val="0"/>
                <w:sz w:val="14"/>
              </w:rPr>
              <w:t>152.77</w:t>
            </w:r>
          </w:p>
        </w:tc>
        <w:tc>
          <w:tcPr>
            <w:tcW w:w="897" w:type="dxa"/>
            <w:shd w:val="clear" w:color="auto" w:fill="F7F7F7"/>
            <w:vAlign w:val="center"/>
          </w:tcPr>
          <w:p w14:paraId="28BCD7D9">
            <w:pPr>
              <w:spacing w:before="0" w:after="0" w:line="240" w:lineRule="auto"/>
              <w:jc w:val="center"/>
            </w:pPr>
            <w:r>
              <w:rPr>
                <w:rFonts w:ascii="Times New Roman" w:hAnsi="Times New Roman" w:eastAsia="Times New Roman" w:cs="Times New Roman"/>
                <w:b w:val="0"/>
                <w:sz w:val="14"/>
              </w:rPr>
              <w:t>-32.1%</w:t>
            </w:r>
          </w:p>
        </w:tc>
        <w:tc>
          <w:tcPr>
            <w:tcW w:w="897" w:type="dxa"/>
            <w:shd w:val="clear" w:color="auto" w:fill="F7F7F7"/>
            <w:vAlign w:val="center"/>
          </w:tcPr>
          <w:p w14:paraId="65E0E0EE">
            <w:pPr>
              <w:spacing w:before="0" w:after="0" w:line="240" w:lineRule="auto"/>
              <w:jc w:val="center"/>
            </w:pPr>
            <w:r>
              <w:rPr>
                <w:rFonts w:ascii="Times New Roman" w:hAnsi="Times New Roman" w:eastAsia="Times New Roman" w:cs="Times New Roman"/>
                <w:b w:val="0"/>
                <w:sz w:val="14"/>
              </w:rPr>
              <w:t>400.00</w:t>
            </w:r>
          </w:p>
        </w:tc>
        <w:tc>
          <w:tcPr>
            <w:tcW w:w="897" w:type="dxa"/>
            <w:shd w:val="clear" w:color="auto" w:fill="F7F7F7"/>
            <w:vAlign w:val="center"/>
          </w:tcPr>
          <w:p w14:paraId="163CD2CA">
            <w:pPr>
              <w:spacing w:before="0" w:after="0" w:line="240" w:lineRule="auto"/>
              <w:jc w:val="center"/>
            </w:pPr>
            <w:r>
              <w:rPr>
                <w:rFonts w:ascii="Times New Roman" w:hAnsi="Times New Roman" w:eastAsia="Times New Roman" w:cs="Times New Roman"/>
                <w:b w:val="0"/>
                <w:sz w:val="14"/>
              </w:rPr>
              <w:t>300.00</w:t>
            </w:r>
          </w:p>
        </w:tc>
        <w:tc>
          <w:tcPr>
            <w:tcW w:w="897" w:type="dxa"/>
            <w:shd w:val="clear" w:color="auto" w:fill="F7F7F7"/>
            <w:vAlign w:val="center"/>
          </w:tcPr>
          <w:p w14:paraId="49584E3D">
            <w:pPr>
              <w:spacing w:before="0" w:after="0" w:line="240" w:lineRule="auto"/>
              <w:jc w:val="center"/>
            </w:pPr>
            <w:r>
              <w:rPr>
                <w:rFonts w:ascii="Times New Roman" w:hAnsi="Times New Roman" w:eastAsia="Times New Roman" w:cs="Times New Roman"/>
                <w:b w:val="0"/>
                <w:sz w:val="14"/>
              </w:rPr>
              <w:t>563.33</w:t>
            </w:r>
          </w:p>
        </w:tc>
        <w:tc>
          <w:tcPr>
            <w:tcW w:w="897" w:type="dxa"/>
            <w:shd w:val="clear" w:color="auto" w:fill="F7F7F7"/>
            <w:vAlign w:val="center"/>
          </w:tcPr>
          <w:p w14:paraId="635B0E12">
            <w:pPr>
              <w:spacing w:before="0" w:after="0" w:line="240" w:lineRule="auto"/>
              <w:jc w:val="center"/>
            </w:pPr>
            <w:r>
              <w:rPr>
                <w:rFonts w:ascii="Times New Roman" w:hAnsi="Times New Roman" w:eastAsia="Times New Roman" w:cs="Times New Roman"/>
                <w:b w:val="0"/>
                <w:sz w:val="14"/>
              </w:rPr>
              <w:t>513.33</w:t>
            </w:r>
          </w:p>
        </w:tc>
        <w:tc>
          <w:tcPr>
            <w:tcW w:w="897" w:type="dxa"/>
            <w:shd w:val="clear" w:color="auto" w:fill="F7F7F7"/>
            <w:vAlign w:val="center"/>
          </w:tcPr>
          <w:p w14:paraId="4079A1D1">
            <w:pPr>
              <w:spacing w:before="0" w:after="0" w:line="240" w:lineRule="auto"/>
              <w:jc w:val="center"/>
            </w:pPr>
            <w:r>
              <w:rPr>
                <w:rFonts w:ascii="Times New Roman" w:hAnsi="Times New Roman" w:eastAsia="Times New Roman" w:cs="Times New Roman"/>
                <w:b w:val="0"/>
                <w:sz w:val="14"/>
              </w:rPr>
              <w:t>51.78</w:t>
            </w:r>
          </w:p>
        </w:tc>
        <w:tc>
          <w:tcPr>
            <w:tcW w:w="897" w:type="dxa"/>
            <w:shd w:val="clear" w:color="auto" w:fill="F7F7F7"/>
            <w:vAlign w:val="center"/>
          </w:tcPr>
          <w:p w14:paraId="0056B05A">
            <w:pPr>
              <w:spacing w:before="0" w:after="0" w:line="240" w:lineRule="auto"/>
              <w:jc w:val="center"/>
            </w:pPr>
            <w:r>
              <w:rPr>
                <w:rFonts w:ascii="Times New Roman" w:hAnsi="Times New Roman" w:eastAsia="Times New Roman" w:cs="Times New Roman"/>
                <w:b w:val="0"/>
                <w:sz w:val="14"/>
              </w:rPr>
              <w:t>59.26</w:t>
            </w:r>
          </w:p>
        </w:tc>
        <w:tc>
          <w:tcPr>
            <w:tcW w:w="897" w:type="dxa"/>
            <w:shd w:val="clear" w:color="auto" w:fill="F7F7F7"/>
            <w:vAlign w:val="center"/>
          </w:tcPr>
          <w:p w14:paraId="556534F1">
            <w:pPr>
              <w:spacing w:before="0" w:after="0" w:line="240" w:lineRule="auto"/>
              <w:jc w:val="center"/>
            </w:pPr>
            <w:r>
              <w:rPr>
                <w:rFonts w:ascii="Times New Roman" w:hAnsi="Times New Roman" w:eastAsia="Times New Roman" w:cs="Times New Roman"/>
                <w:b w:val="0"/>
                <w:sz w:val="14"/>
              </w:rPr>
              <w:t>+14.5%</w:t>
            </w:r>
          </w:p>
        </w:tc>
      </w:tr>
      <w:tr w14:paraId="1B7561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897" w:type="dxa"/>
            <w:vAlign w:val="center"/>
          </w:tcPr>
          <w:p w14:paraId="6461A037">
            <w:pPr>
              <w:spacing w:before="0" w:after="0" w:line="240" w:lineRule="auto"/>
              <w:jc w:val="left"/>
            </w:pPr>
            <w:r>
              <w:rPr>
                <w:rFonts w:ascii="Times New Roman" w:hAnsi="Times New Roman" w:eastAsia="Times New Roman" w:cs="Times New Roman"/>
                <w:b w:val="0"/>
                <w:sz w:val="14"/>
              </w:rPr>
              <w:t>W05</w:t>
            </w:r>
          </w:p>
        </w:tc>
        <w:tc>
          <w:tcPr>
            <w:tcW w:w="897" w:type="dxa"/>
            <w:vAlign w:val="center"/>
          </w:tcPr>
          <w:p w14:paraId="59025079">
            <w:pPr>
              <w:spacing w:before="0" w:after="0" w:line="240" w:lineRule="auto"/>
              <w:jc w:val="left"/>
            </w:pPr>
            <w:r>
              <w:rPr>
                <w:rFonts w:ascii="Times New Roman" w:hAnsi="Times New Roman" w:eastAsia="Times New Roman" w:cs="Times New Roman"/>
                <w:b w:val="0"/>
                <w:sz w:val="14"/>
              </w:rPr>
              <w:t>290.49</w:t>
            </w:r>
          </w:p>
        </w:tc>
        <w:tc>
          <w:tcPr>
            <w:tcW w:w="897" w:type="dxa"/>
            <w:vAlign w:val="center"/>
          </w:tcPr>
          <w:p w14:paraId="46E3A2C4">
            <w:pPr>
              <w:spacing w:before="0" w:after="0" w:line="240" w:lineRule="auto"/>
              <w:jc w:val="center"/>
            </w:pPr>
            <w:r>
              <w:rPr>
                <w:rFonts w:ascii="Times New Roman" w:hAnsi="Times New Roman" w:eastAsia="Times New Roman" w:cs="Times New Roman"/>
                <w:b w:val="0"/>
                <w:sz w:val="14"/>
              </w:rPr>
              <w:t>168.64</w:t>
            </w:r>
          </w:p>
        </w:tc>
        <w:tc>
          <w:tcPr>
            <w:tcW w:w="897" w:type="dxa"/>
            <w:vAlign w:val="center"/>
          </w:tcPr>
          <w:p w14:paraId="600B56E8">
            <w:pPr>
              <w:spacing w:before="0" w:after="0" w:line="240" w:lineRule="auto"/>
              <w:jc w:val="center"/>
            </w:pPr>
            <w:r>
              <w:rPr>
                <w:rFonts w:ascii="Times New Roman" w:hAnsi="Times New Roman" w:eastAsia="Times New Roman" w:cs="Times New Roman"/>
                <w:b w:val="0"/>
                <w:sz w:val="14"/>
              </w:rPr>
              <w:t>-41.9%</w:t>
            </w:r>
          </w:p>
        </w:tc>
        <w:tc>
          <w:tcPr>
            <w:tcW w:w="897" w:type="dxa"/>
            <w:vAlign w:val="center"/>
          </w:tcPr>
          <w:p w14:paraId="4760DA99">
            <w:pPr>
              <w:spacing w:before="0" w:after="0" w:line="240" w:lineRule="auto"/>
              <w:jc w:val="center"/>
            </w:pPr>
            <w:r>
              <w:rPr>
                <w:rFonts w:ascii="Times New Roman" w:hAnsi="Times New Roman" w:eastAsia="Times New Roman" w:cs="Times New Roman"/>
                <w:b w:val="0"/>
                <w:sz w:val="14"/>
              </w:rPr>
              <w:t>396.67</w:t>
            </w:r>
          </w:p>
        </w:tc>
        <w:tc>
          <w:tcPr>
            <w:tcW w:w="897" w:type="dxa"/>
            <w:vAlign w:val="center"/>
          </w:tcPr>
          <w:p w14:paraId="7D60D929">
            <w:pPr>
              <w:spacing w:before="0" w:after="0" w:line="240" w:lineRule="auto"/>
              <w:jc w:val="center"/>
            </w:pPr>
            <w:r>
              <w:rPr>
                <w:rFonts w:ascii="Times New Roman" w:hAnsi="Times New Roman" w:eastAsia="Times New Roman" w:cs="Times New Roman"/>
                <w:b w:val="0"/>
                <w:sz w:val="14"/>
              </w:rPr>
              <w:t>340.00</w:t>
            </w:r>
          </w:p>
        </w:tc>
        <w:tc>
          <w:tcPr>
            <w:tcW w:w="897" w:type="dxa"/>
            <w:vAlign w:val="center"/>
          </w:tcPr>
          <w:p w14:paraId="6C48C7AF">
            <w:pPr>
              <w:spacing w:before="0" w:after="0" w:line="240" w:lineRule="auto"/>
              <w:jc w:val="center"/>
            </w:pPr>
            <w:r>
              <w:rPr>
                <w:rFonts w:ascii="Times New Roman" w:hAnsi="Times New Roman" w:eastAsia="Times New Roman" w:cs="Times New Roman"/>
                <w:b w:val="0"/>
                <w:sz w:val="14"/>
              </w:rPr>
              <w:t>723.33</w:t>
            </w:r>
          </w:p>
        </w:tc>
        <w:tc>
          <w:tcPr>
            <w:tcW w:w="897" w:type="dxa"/>
            <w:vAlign w:val="center"/>
          </w:tcPr>
          <w:p w14:paraId="2625F36B">
            <w:pPr>
              <w:spacing w:before="0" w:after="0" w:line="240" w:lineRule="auto"/>
              <w:jc w:val="center"/>
            </w:pPr>
            <w:r>
              <w:rPr>
                <w:rFonts w:ascii="Times New Roman" w:hAnsi="Times New Roman" w:eastAsia="Times New Roman" w:cs="Times New Roman"/>
                <w:b w:val="0"/>
                <w:sz w:val="14"/>
              </w:rPr>
              <w:t>676.67</w:t>
            </w:r>
          </w:p>
        </w:tc>
        <w:tc>
          <w:tcPr>
            <w:tcW w:w="897" w:type="dxa"/>
            <w:vAlign w:val="center"/>
          </w:tcPr>
          <w:p w14:paraId="1FEAE9DA">
            <w:pPr>
              <w:spacing w:before="0" w:after="0" w:line="240" w:lineRule="auto"/>
              <w:jc w:val="center"/>
            </w:pPr>
            <w:r>
              <w:rPr>
                <w:rFonts w:ascii="Times New Roman" w:hAnsi="Times New Roman" w:eastAsia="Times New Roman" w:cs="Times New Roman"/>
                <w:b w:val="0"/>
                <w:sz w:val="14"/>
              </w:rPr>
              <w:t>44.04</w:t>
            </w:r>
          </w:p>
        </w:tc>
        <w:tc>
          <w:tcPr>
            <w:tcW w:w="897" w:type="dxa"/>
            <w:vAlign w:val="center"/>
          </w:tcPr>
          <w:p w14:paraId="71057A52">
            <w:pPr>
              <w:spacing w:before="0" w:after="0" w:line="240" w:lineRule="auto"/>
              <w:jc w:val="center"/>
            </w:pPr>
            <w:r>
              <w:rPr>
                <w:rFonts w:ascii="Times New Roman" w:hAnsi="Times New Roman" w:eastAsia="Times New Roman" w:cs="Times New Roman"/>
                <w:b w:val="0"/>
                <w:sz w:val="14"/>
              </w:rPr>
              <w:t>57.39</w:t>
            </w:r>
          </w:p>
        </w:tc>
        <w:tc>
          <w:tcPr>
            <w:tcW w:w="897" w:type="dxa"/>
            <w:vAlign w:val="center"/>
          </w:tcPr>
          <w:p w14:paraId="7E15D23E">
            <w:pPr>
              <w:spacing w:before="0" w:after="0" w:line="240" w:lineRule="auto"/>
              <w:jc w:val="center"/>
            </w:pPr>
            <w:r>
              <w:rPr>
                <w:rFonts w:ascii="Times New Roman" w:hAnsi="Times New Roman" w:eastAsia="Times New Roman" w:cs="Times New Roman"/>
                <w:b w:val="0"/>
                <w:sz w:val="14"/>
              </w:rPr>
              <w:t>+30.3%</w:t>
            </w:r>
          </w:p>
        </w:tc>
      </w:tr>
      <w:tr w14:paraId="5171708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897" w:type="dxa"/>
            <w:shd w:val="clear" w:color="auto" w:fill="F7F7F7"/>
            <w:vAlign w:val="center"/>
          </w:tcPr>
          <w:p w14:paraId="2C27EFA6">
            <w:pPr>
              <w:spacing w:before="0" w:after="0" w:line="240" w:lineRule="auto"/>
              <w:jc w:val="left"/>
            </w:pPr>
            <w:r>
              <w:rPr>
                <w:rFonts w:ascii="Times New Roman" w:hAnsi="Times New Roman" w:eastAsia="Times New Roman" w:cs="Times New Roman"/>
                <w:b w:val="0"/>
                <w:sz w:val="14"/>
              </w:rPr>
              <w:t>W06</w:t>
            </w:r>
          </w:p>
        </w:tc>
        <w:tc>
          <w:tcPr>
            <w:tcW w:w="897" w:type="dxa"/>
            <w:shd w:val="clear" w:color="auto" w:fill="F7F7F7"/>
            <w:vAlign w:val="center"/>
          </w:tcPr>
          <w:p w14:paraId="1C446645">
            <w:pPr>
              <w:spacing w:before="0" w:after="0" w:line="240" w:lineRule="auto"/>
              <w:jc w:val="left"/>
            </w:pPr>
            <w:r>
              <w:rPr>
                <w:rFonts w:ascii="Times New Roman" w:hAnsi="Times New Roman" w:eastAsia="Times New Roman" w:cs="Times New Roman"/>
                <w:b w:val="0"/>
                <w:sz w:val="14"/>
              </w:rPr>
              <w:t>572.17</w:t>
            </w:r>
          </w:p>
        </w:tc>
        <w:tc>
          <w:tcPr>
            <w:tcW w:w="897" w:type="dxa"/>
            <w:shd w:val="clear" w:color="auto" w:fill="F7F7F7"/>
            <w:vAlign w:val="center"/>
          </w:tcPr>
          <w:p w14:paraId="4D95D2DF">
            <w:pPr>
              <w:spacing w:before="0" w:after="0" w:line="240" w:lineRule="auto"/>
              <w:jc w:val="center"/>
            </w:pPr>
            <w:r>
              <w:rPr>
                <w:rFonts w:ascii="Times New Roman" w:hAnsi="Times New Roman" w:eastAsia="Times New Roman" w:cs="Times New Roman"/>
                <w:b w:val="0"/>
                <w:sz w:val="14"/>
              </w:rPr>
              <w:t>544.83</w:t>
            </w:r>
          </w:p>
        </w:tc>
        <w:tc>
          <w:tcPr>
            <w:tcW w:w="897" w:type="dxa"/>
            <w:shd w:val="clear" w:color="auto" w:fill="F7F7F7"/>
            <w:vAlign w:val="center"/>
          </w:tcPr>
          <w:p w14:paraId="75E2A8A2">
            <w:pPr>
              <w:spacing w:before="0" w:after="0" w:line="240" w:lineRule="auto"/>
              <w:jc w:val="center"/>
            </w:pPr>
            <w:r>
              <w:rPr>
                <w:rFonts w:ascii="Times New Roman" w:hAnsi="Times New Roman" w:eastAsia="Times New Roman" w:cs="Times New Roman"/>
                <w:b w:val="0"/>
                <w:sz w:val="14"/>
              </w:rPr>
              <w:t>-4.8%</w:t>
            </w:r>
          </w:p>
        </w:tc>
        <w:tc>
          <w:tcPr>
            <w:tcW w:w="897" w:type="dxa"/>
            <w:shd w:val="clear" w:color="auto" w:fill="F7F7F7"/>
            <w:vAlign w:val="center"/>
          </w:tcPr>
          <w:p w14:paraId="65FE23A9">
            <w:pPr>
              <w:spacing w:before="0" w:after="0" w:line="240" w:lineRule="auto"/>
              <w:jc w:val="center"/>
            </w:pPr>
            <w:r>
              <w:rPr>
                <w:rFonts w:ascii="Times New Roman" w:hAnsi="Times New Roman" w:eastAsia="Times New Roman" w:cs="Times New Roman"/>
                <w:b w:val="0"/>
                <w:sz w:val="14"/>
              </w:rPr>
              <w:t>996.67</w:t>
            </w:r>
          </w:p>
        </w:tc>
        <w:tc>
          <w:tcPr>
            <w:tcW w:w="897" w:type="dxa"/>
            <w:shd w:val="clear" w:color="auto" w:fill="F7F7F7"/>
            <w:vAlign w:val="center"/>
          </w:tcPr>
          <w:p w14:paraId="0DB53C16">
            <w:pPr>
              <w:spacing w:before="0" w:after="0" w:line="240" w:lineRule="auto"/>
              <w:jc w:val="center"/>
            </w:pPr>
            <w:r>
              <w:rPr>
                <w:rFonts w:ascii="Times New Roman" w:hAnsi="Times New Roman" w:eastAsia="Times New Roman" w:cs="Times New Roman"/>
                <w:b w:val="0"/>
                <w:sz w:val="14"/>
              </w:rPr>
              <w:t>1566.67</w:t>
            </w:r>
          </w:p>
        </w:tc>
        <w:tc>
          <w:tcPr>
            <w:tcW w:w="897" w:type="dxa"/>
            <w:shd w:val="clear" w:color="auto" w:fill="F7F7F7"/>
            <w:vAlign w:val="center"/>
          </w:tcPr>
          <w:p w14:paraId="4D2B2AC0">
            <w:pPr>
              <w:spacing w:before="0" w:after="0" w:line="240" w:lineRule="auto"/>
              <w:jc w:val="center"/>
            </w:pPr>
            <w:r>
              <w:rPr>
                <w:rFonts w:ascii="Times New Roman" w:hAnsi="Times New Roman" w:eastAsia="Times New Roman" w:cs="Times New Roman"/>
                <w:b w:val="0"/>
                <w:sz w:val="14"/>
              </w:rPr>
              <w:t>2373.33</w:t>
            </w:r>
          </w:p>
        </w:tc>
        <w:tc>
          <w:tcPr>
            <w:tcW w:w="897" w:type="dxa"/>
            <w:shd w:val="clear" w:color="auto" w:fill="F7F7F7"/>
            <w:vAlign w:val="center"/>
          </w:tcPr>
          <w:p w14:paraId="5D9950F1">
            <w:pPr>
              <w:spacing w:before="0" w:after="0" w:line="240" w:lineRule="auto"/>
              <w:jc w:val="center"/>
            </w:pPr>
            <w:r>
              <w:rPr>
                <w:rFonts w:ascii="Times New Roman" w:hAnsi="Times New Roman" w:eastAsia="Times New Roman" w:cs="Times New Roman"/>
                <w:b w:val="0"/>
                <w:sz w:val="14"/>
              </w:rPr>
              <w:t>4233.33</w:t>
            </w:r>
          </w:p>
        </w:tc>
        <w:tc>
          <w:tcPr>
            <w:tcW w:w="897" w:type="dxa"/>
            <w:shd w:val="clear" w:color="auto" w:fill="F7F7F7"/>
            <w:vAlign w:val="center"/>
          </w:tcPr>
          <w:p w14:paraId="40FCCBF1">
            <w:pPr>
              <w:spacing w:before="0" w:after="0" w:line="240" w:lineRule="auto"/>
              <w:jc w:val="center"/>
            </w:pPr>
            <w:r>
              <w:rPr>
                <w:rFonts w:ascii="Times New Roman" w:hAnsi="Times New Roman" w:eastAsia="Times New Roman" w:cs="Times New Roman"/>
                <w:b w:val="0"/>
                <w:sz w:val="14"/>
              </w:rPr>
              <w:t>20.64</w:t>
            </w:r>
          </w:p>
        </w:tc>
        <w:tc>
          <w:tcPr>
            <w:tcW w:w="897" w:type="dxa"/>
            <w:shd w:val="clear" w:color="auto" w:fill="F7F7F7"/>
            <w:vAlign w:val="center"/>
          </w:tcPr>
          <w:p w14:paraId="346883EC">
            <w:pPr>
              <w:spacing w:before="0" w:after="0" w:line="240" w:lineRule="auto"/>
              <w:jc w:val="center"/>
            </w:pPr>
            <w:r>
              <w:rPr>
                <w:rFonts w:ascii="Times New Roman" w:hAnsi="Times New Roman" w:eastAsia="Times New Roman" w:cs="Times New Roman"/>
                <w:b w:val="0"/>
                <w:sz w:val="14"/>
              </w:rPr>
              <w:t>21.84</w:t>
            </w:r>
          </w:p>
        </w:tc>
        <w:tc>
          <w:tcPr>
            <w:tcW w:w="897" w:type="dxa"/>
            <w:shd w:val="clear" w:color="auto" w:fill="F7F7F7"/>
            <w:vAlign w:val="center"/>
          </w:tcPr>
          <w:p w14:paraId="21A06404">
            <w:pPr>
              <w:spacing w:before="0" w:after="0" w:line="240" w:lineRule="auto"/>
              <w:jc w:val="center"/>
            </w:pPr>
            <w:r>
              <w:rPr>
                <w:rFonts w:ascii="Times New Roman" w:hAnsi="Times New Roman" w:eastAsia="Times New Roman" w:cs="Times New Roman"/>
                <w:b w:val="0"/>
                <w:sz w:val="14"/>
              </w:rPr>
              <w:t>+5.8%</w:t>
            </w:r>
          </w:p>
        </w:tc>
      </w:tr>
    </w:tbl>
    <w:p w14:paraId="0BACBB97">
      <w:pPr>
        <w:spacing w:before="40" w:after="120"/>
      </w:pPr>
      <w:r>
        <w:rPr>
          <w:rFonts w:ascii="Times New Roman" w:hAnsi="Times New Roman" w:eastAsia="Times New Roman" w:cs="Times New Roman"/>
          <w:i/>
          <w:sz w:val="18"/>
        </w:rPr>
        <w:t>Note: Values are descriptive means across three accepted formal repetitions. Δ is Serverless relative to EC2.</w:t>
      </w:r>
    </w:p>
    <w:p w14:paraId="453D5462">
      <w:pPr>
        <w:spacing w:before="80" w:after="40"/>
        <w:jc w:val="center"/>
      </w:pPr>
      <w:r>
        <w:rPr>
          <w:rFonts w:ascii="Times New Roman" w:hAnsi="Times New Roman" w:eastAsia="Times New Roman" w:cs="Times New Roman"/>
        </w:rPr>
        <w:drawing>
          <wp:inline distT="0" distB="0" distL="114300" distR="114300">
            <wp:extent cx="5532120" cy="3100705"/>
            <wp:effectExtent l="0" t="0" r="1143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32120" cy="3100998"/>
                    </a:xfrm>
                    <a:prstGeom prst="rect">
                      <a:avLst/>
                    </a:prstGeom>
                  </pic:spPr>
                </pic:pic>
              </a:graphicData>
            </a:graphic>
          </wp:inline>
        </w:drawing>
      </w:r>
    </w:p>
    <w:p w14:paraId="74D421FE">
      <w:pPr>
        <w:spacing w:after="120"/>
        <w:jc w:val="center"/>
      </w:pPr>
      <w:r>
        <w:rPr>
          <w:rFonts w:ascii="Times New Roman" w:hAnsi="Times New Roman" w:eastAsia="Times New Roman" w:cs="Times New Roman"/>
          <w:i/>
          <w:sz w:val="18"/>
        </w:rPr>
        <w:t>Figure 2. Mean response latency by formal workload; error bars show sample SD across three trials.</w:t>
      </w:r>
    </w:p>
    <w:p w14:paraId="2A416574">
      <w:pPr>
        <w:spacing w:before="80" w:after="40"/>
        <w:jc w:val="center"/>
      </w:pPr>
      <w:r>
        <w:rPr>
          <w:rFonts w:ascii="Times New Roman" w:hAnsi="Times New Roman" w:eastAsia="Times New Roman" w:cs="Times New Roman"/>
        </w:rPr>
        <w:drawing>
          <wp:inline distT="0" distB="0" distL="114300" distR="114300">
            <wp:extent cx="5532120" cy="3100705"/>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32120" cy="3100998"/>
                    </a:xfrm>
                    <a:prstGeom prst="rect">
                      <a:avLst/>
                    </a:prstGeom>
                  </pic:spPr>
                </pic:pic>
              </a:graphicData>
            </a:graphic>
          </wp:inline>
        </w:drawing>
      </w:r>
    </w:p>
    <w:p w14:paraId="1F9D45EB">
      <w:pPr>
        <w:spacing w:after="120"/>
        <w:jc w:val="center"/>
      </w:pPr>
      <w:r>
        <w:rPr>
          <w:rFonts w:ascii="Times New Roman" w:hAnsi="Times New Roman" w:eastAsia="Times New Roman" w:cs="Times New Roman"/>
          <w:i/>
          <w:sz w:val="18"/>
        </w:rPr>
        <w:t>Figure 3. Mean P95 latency by formal workload; error bars show sample SD across three trials.</w:t>
      </w:r>
    </w:p>
    <w:p w14:paraId="75B56F54">
      <w:pPr>
        <w:spacing w:before="80" w:after="40"/>
        <w:jc w:val="center"/>
      </w:pPr>
      <w:r>
        <w:rPr>
          <w:rFonts w:ascii="Times New Roman" w:hAnsi="Times New Roman" w:eastAsia="Times New Roman" w:cs="Times New Roman"/>
        </w:rPr>
        <w:drawing>
          <wp:inline distT="0" distB="0" distL="114300" distR="114300">
            <wp:extent cx="5532120" cy="310515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32120" cy="3105223"/>
                    </a:xfrm>
                    <a:prstGeom prst="rect">
                      <a:avLst/>
                    </a:prstGeom>
                  </pic:spPr>
                </pic:pic>
              </a:graphicData>
            </a:graphic>
          </wp:inline>
        </w:drawing>
      </w:r>
    </w:p>
    <w:p w14:paraId="643416B9">
      <w:pPr>
        <w:spacing w:after="120"/>
        <w:jc w:val="center"/>
      </w:pPr>
      <w:r>
        <w:rPr>
          <w:rFonts w:ascii="Times New Roman" w:hAnsi="Times New Roman" w:eastAsia="Times New Roman" w:cs="Times New Roman"/>
          <w:i/>
          <w:sz w:val="18"/>
        </w:rPr>
        <w:t>Figure 4. Achieved throughput by formal workload; error bars show sample SD across three trials.</w:t>
      </w:r>
    </w:p>
    <w:p w14:paraId="020262F3">
      <w:pPr>
        <w:pStyle w:val="3"/>
      </w:pPr>
      <w:r>
        <w:rPr>
          <w:rFonts w:ascii="Times New Roman" w:hAnsi="Times New Roman" w:eastAsia="Times New Roman" w:cs="Times New Roman"/>
          <w:sz w:val="22"/>
        </w:rPr>
        <w:t>5.1 Low Workload</w:t>
      </w:r>
    </w:p>
    <w:p w14:paraId="01502AEE">
      <w:pPr>
        <w:spacing w:after="80" w:line="252" w:lineRule="auto"/>
        <w:ind w:firstLine="238"/>
        <w:jc w:val="both"/>
      </w:pPr>
      <w:r>
        <w:rPr>
          <w:rFonts w:ascii="Times New Roman" w:hAnsi="Times New Roman" w:eastAsia="Times New Roman" w:cs="Times New Roman"/>
          <w:sz w:val="20"/>
        </w:rPr>
        <w:t>With five concurrent users, the two architectures performed similarly on the main speed metrics. EC2 recorded 123.19 ± 2.99 ms mean trial-level average latency, compared with 126.04 ± 3.18 ms for Serverless, a 2.3% increase for Serverless. Tail latency slightly favored Serverless: mean P95 was 196.67 ms on EC2 and 163.33 ms on Serverless (-16.9%), while mean P99 was 390.00 ms and 363.33 ms (-6.8%), respectively. Throughput was almost unchanged at 10.10 requests/s for EC2 and 10.05 requests/s for Serverless (-0.4%). Neither architecture recorded request failures in this workload. The larger difference was cost: estimated cost per 1,000 successful requests was $0.000804 for EC2 and $0.001485 for Serverless, making Serverless 1.85× as expensive in this condition. Overall, W01 did not show a clear performance winner.</w:t>
      </w:r>
    </w:p>
    <w:p w14:paraId="03B1D8EB">
      <w:pPr>
        <w:spacing w:after="80" w:line="252" w:lineRule="auto"/>
        <w:ind w:firstLine="238"/>
        <w:jc w:val="both"/>
      </w:pPr>
      <w:r>
        <w:rPr>
          <w:rFonts w:ascii="Times New Roman" w:hAnsi="Times New Roman" w:eastAsia="Times New Roman" w:cs="Times New Roman"/>
          <w:sz w:val="20"/>
        </w:rPr>
        <w:t>At this light load, both deployments had enough capacity for the five-user workload, so the small latency and throughput differences are less important than they become at higher load. In this particular condition, cost was the clearest practical distinction.</w:t>
      </w:r>
    </w:p>
    <w:p w14:paraId="20442A65">
      <w:pPr>
        <w:pStyle w:val="3"/>
      </w:pPr>
      <w:r>
        <w:rPr>
          <w:rFonts w:ascii="Times New Roman" w:hAnsi="Times New Roman" w:eastAsia="Times New Roman" w:cs="Times New Roman"/>
          <w:sz w:val="22"/>
        </w:rPr>
        <w:t>5.2 Moderate Workload</w:t>
      </w:r>
    </w:p>
    <w:p w14:paraId="4D69CF42">
      <w:pPr>
        <w:spacing w:after="80" w:line="252" w:lineRule="auto"/>
        <w:ind w:firstLine="238"/>
        <w:jc w:val="both"/>
      </w:pPr>
      <w:r>
        <w:rPr>
          <w:rFonts w:ascii="Times New Roman" w:hAnsi="Times New Roman" w:eastAsia="Times New Roman" w:cs="Times New Roman"/>
          <w:sz w:val="20"/>
        </w:rPr>
        <w:t>At moderate load, Serverless showed lower latency on most of the reported measures. Mean trial-level average latency was 200.09 ± 109.50 ms on EC2 and 174.43 ± 53.99 ms on Serverless, a 12.8% reduction. Mean P95 fell from 730.00 ms to 426.67 ms (-41.6%), and mean P99 from 1326.67 ms to 733.33 ms (-44.7%). Achieved throughput was 26.70 requests/s for EC2 and 27.59 requests/s for Serverless (+3.3%). Reliability, however, moved in the opposite direction: EC2 had a 0.000% mean failure rate, while Serverless recorded 0.115%, a +0.115 percentage-point difference. Estimated cost per 1,000 successful requests was $0.000311 for EC2 and $0.001291 for Serverless, giving a 4.16× Serverless-to-EC2 cost ratio. In W02, the latency advantage of Serverless therefore came with higher cost and a small reliability penalty.</w:t>
      </w:r>
    </w:p>
    <w:p w14:paraId="2F9DACF6">
      <w:pPr>
        <w:spacing w:after="80" w:line="252" w:lineRule="auto"/>
        <w:ind w:firstLine="238"/>
        <w:jc w:val="both"/>
      </w:pPr>
      <w:r>
        <w:rPr>
          <w:rFonts w:ascii="Times New Roman" w:hAnsi="Times New Roman" w:eastAsia="Times New Roman" w:cs="Times New Roman"/>
          <w:sz w:val="20"/>
        </w:rPr>
        <w:t>The spread between repetitions is also noticeable in W02, especially for latency. That variability is a reminder that the architecture-level means should not be read as if they came from a large sample; a single run would have given a much less stable picture.</w:t>
      </w:r>
    </w:p>
    <w:p w14:paraId="47BF695C">
      <w:pPr>
        <w:pStyle w:val="3"/>
      </w:pPr>
      <w:r>
        <w:rPr>
          <w:rFonts w:ascii="Times New Roman" w:hAnsi="Times New Roman" w:eastAsia="Times New Roman" w:cs="Times New Roman"/>
          <w:sz w:val="22"/>
        </w:rPr>
        <w:t>5.3 High Workload</w:t>
      </w:r>
    </w:p>
    <w:p w14:paraId="1C115ABC">
      <w:pPr>
        <w:spacing w:after="80" w:line="252" w:lineRule="auto"/>
        <w:ind w:firstLine="238"/>
        <w:jc w:val="both"/>
      </w:pPr>
      <w:r>
        <w:rPr>
          <w:rFonts w:ascii="Times New Roman" w:hAnsi="Times New Roman" w:eastAsia="Times New Roman" w:cs="Times New Roman"/>
          <w:sz w:val="20"/>
        </w:rPr>
        <w:t>Under the higher W03 load, the comparison became less straightforward. Serverless had slightly lower mean latency: 325.82 ± 181.16 ms versus 341.52 ± 220.69 ms on EC2 (-4.6%). Mean P95 was also lower at 570.00 ms versus 720.00 ms (-20.8%), and mean P99 was 1276.67 ms versus 1380.00 ms (-7.5%). Despite those latency results, EC2 achieved the higher throughput, 43.72 requests/s compared with 40.00 requests/s (-8.5% for Serverless). The reliability gap was much larger than in W02: EC2 remained at 0.000% mean failures, while Serverless reached 4.086%, a +4.086 percentage-point difference. Estimated cost per 1,000 successful requests was $0.000194 on EC2 and $0.001786 on Serverless, a 9.21× ratio. W03 therefore shows why lower latency alone is not enough to declare an architecture better.</w:t>
      </w:r>
    </w:p>
    <w:p w14:paraId="424EAFD5">
      <w:pPr>
        <w:spacing w:after="80" w:line="252" w:lineRule="auto"/>
        <w:ind w:firstLine="238"/>
        <w:jc w:val="both"/>
      </w:pPr>
      <w:r>
        <w:rPr>
          <w:rFonts w:ascii="Times New Roman" w:hAnsi="Times New Roman" w:eastAsia="Times New Roman" w:cs="Times New Roman"/>
          <w:sz w:val="20"/>
        </w:rPr>
        <w:t>In other words, the architecture with the lower latency did not also deliver the best throughput, reliability, and cost. The metrics need to be considered together rather than reduced to a single score.</w:t>
      </w:r>
    </w:p>
    <w:p w14:paraId="74A2EA39">
      <w:pPr>
        <w:pStyle w:val="3"/>
      </w:pPr>
      <w:r>
        <w:rPr>
          <w:rFonts w:ascii="Times New Roman" w:hAnsi="Times New Roman" w:eastAsia="Times New Roman" w:cs="Times New Roman"/>
          <w:sz w:val="22"/>
        </w:rPr>
        <w:t>5.4 Sudden Burst</w:t>
      </w:r>
    </w:p>
    <w:p w14:paraId="0BE30E8A">
      <w:pPr>
        <w:spacing w:after="80" w:line="252" w:lineRule="auto"/>
        <w:ind w:firstLine="238"/>
        <w:jc w:val="both"/>
      </w:pPr>
      <w:r>
        <w:rPr>
          <w:rFonts w:ascii="Times New Roman" w:hAnsi="Times New Roman" w:eastAsia="Times New Roman" w:cs="Times New Roman"/>
          <w:sz w:val="20"/>
        </w:rPr>
        <w:t>The sudden-burst workload produced the clearest formal responsiveness advantage for Serverless. Mean trial-level average latency was 152.77 ± 20.63 ms on Serverless compared with 225.00 ± 10.43 ms on EC2, a 32.1% reduction. Mean P95 fell from 400.00 ms to 300.00 ms (-25.0%), and mean P99 from 563.33 ms to 513.33 ms (-8.9%). Serverless also completed more work, averaging 59.26 requests/s versus 51.78 requests/s on EC2 (+14.5%). The trade-off was visible in reliability and cost: EC2 recorded a 0.000% mean failure rate, Serverless 0.434% (+0.434 percentage points), and the estimated cost per 1,000 successful requests was $0.000154 for EC2 versus $0.001463 for Serverless. The resulting cost ratio was 9.50×.</w:t>
      </w:r>
    </w:p>
    <w:p w14:paraId="30408257">
      <w:pPr>
        <w:spacing w:after="80" w:line="252" w:lineRule="auto"/>
        <w:ind w:firstLine="238"/>
        <w:jc w:val="both"/>
      </w:pPr>
      <w:r>
        <w:rPr>
          <w:rFonts w:ascii="Times New Roman" w:hAnsi="Times New Roman" w:eastAsia="Times New Roman" w:cs="Times New Roman"/>
          <w:sz w:val="20"/>
        </w:rPr>
        <w:t>W04 therefore captures the main trade-off observed in this study: Serverless reacted more favorably to the abrupt burst on latency and throughput, while the tested EC2 setup remained cheaper and more reliable.</w:t>
      </w:r>
    </w:p>
    <w:p w14:paraId="584A8338">
      <w:pPr>
        <w:pStyle w:val="3"/>
      </w:pPr>
      <w:r>
        <w:rPr>
          <w:rFonts w:ascii="Times New Roman" w:hAnsi="Times New Roman" w:eastAsia="Times New Roman" w:cs="Times New Roman"/>
          <w:sz w:val="22"/>
        </w:rPr>
        <w:t>5.5 Idle-to-Burst</w:t>
      </w:r>
    </w:p>
    <w:p w14:paraId="7AB8AD88">
      <w:pPr>
        <w:spacing w:after="80" w:line="252" w:lineRule="auto"/>
        <w:ind w:firstLine="238"/>
        <w:jc w:val="both"/>
      </w:pPr>
      <w:r>
        <w:rPr>
          <w:rFonts w:ascii="Times New Roman" w:hAnsi="Times New Roman" w:eastAsia="Times New Roman" w:cs="Times New Roman"/>
          <w:sz w:val="20"/>
        </w:rPr>
        <w:t>After the 300-second idle period, Serverless again showed a clear responsiveness advantage. Mean trial-level average latency was 168.64 ± 22.10 ms compared with 290.49 ± 142.04 ms on EC2 (-41.9%). Mean P95 was 340.00 ms versus 396.67 ms (-14.3%), and mean P99 was 676.67 ms versus 723.33 ms (-6.5%). Serverless throughput averaged 57.39 requests/s, compared with 44.04 requests/s on EC2 (+30.3%). EC2 recorded no request failures, while Serverless had a 0.916% mean failure rate (+0.916 percentage points). Cost was much closer than in the active 60-second workloads: $0.001222 per 1,000 successful requests for EC2 and $0.001297 for Serverless, only 1.06× higher for Serverless.</w:t>
      </w:r>
    </w:p>
    <w:p w14:paraId="13E8B4DB">
      <w:pPr>
        <w:spacing w:after="80" w:line="252" w:lineRule="auto"/>
        <w:ind w:firstLine="238"/>
        <w:jc w:val="both"/>
      </w:pPr>
      <w:r>
        <w:rPr>
          <w:rFonts w:ascii="Times New Roman" w:hAnsi="Times New Roman" w:eastAsia="Times New Roman" w:cs="Times New Roman"/>
          <w:sz w:val="20"/>
        </w:rPr>
        <w:t>The narrowed cost gap is a direct consequence of the workload design. EC2 remained provisioned during the five-minute idle interval, while Lambda had no on-demand compute allocation during that idle period. This result should be interpreted as an idle-to-burst cost comparison. It is not evidence of a cold start because the experiment did not directly verify whether Lambda created a new execution environment after the idle interval.</w:t>
      </w:r>
    </w:p>
    <w:p w14:paraId="658BB850">
      <w:pPr>
        <w:pStyle w:val="3"/>
      </w:pPr>
      <w:r>
        <w:rPr>
          <w:rFonts w:ascii="Times New Roman" w:hAnsi="Times New Roman" w:eastAsia="Times New Roman" w:cs="Times New Roman"/>
          <w:sz w:val="22"/>
        </w:rPr>
        <w:t>5.6 Sustained Workload</w:t>
      </w:r>
    </w:p>
    <w:p w14:paraId="09ADAF08">
      <w:pPr>
        <w:spacing w:after="80" w:line="252" w:lineRule="auto"/>
        <w:ind w:firstLine="238"/>
        <w:jc w:val="both"/>
      </w:pPr>
      <w:r>
        <w:rPr>
          <w:rFonts w:ascii="Times New Roman" w:hAnsi="Times New Roman" w:eastAsia="Times New Roman" w:cs="Times New Roman"/>
          <w:sz w:val="20"/>
        </w:rPr>
        <w:t>The five-minute sustained workload produced a mixed result. Serverless had slightly lower mean trial-level average latency at 544.83 ± 250.63 ms, compared with 572.17 ± 449.46 ms on EC2 (-4.8%), and slightly higher achieved throughput at 21.84 versus 20.64 requests/s (+5.8%). Tail latency moved strongly in the other direction: mean P95 was 1566.67 ms on Serverless versus 996.67 ms on EC2 (+57.2%), and mean P99 was 4233.33 ms versus 2373.33 ms (+78.4%). Reliability also favored EC2, with mean failure rates of 0.110% and 1.354%, respectively, a +1.243 percentage-point difference for Serverless. Estimated cost per 1,000 successful requests was $0.000461 on EC2 and $0.001692 on Serverless, a 3.67× ratio.</w:t>
      </w:r>
    </w:p>
    <w:p w14:paraId="2E00104E">
      <w:pPr>
        <w:spacing w:after="80" w:line="252" w:lineRule="auto"/>
        <w:ind w:firstLine="238"/>
        <w:jc w:val="both"/>
      </w:pPr>
      <w:r>
        <w:rPr>
          <w:rFonts w:ascii="Times New Roman" w:hAnsi="Times New Roman" w:eastAsia="Times New Roman" w:cs="Times New Roman"/>
          <w:sz w:val="20"/>
        </w:rPr>
        <w:t>W06 is a useful example of why an average can be misleading. Serverless remained competitive on mean latency and throughput, yet its P95/P99 latency and failure rate were less favorable over the longer run.</w:t>
      </w:r>
    </w:p>
    <w:p w14:paraId="1C611408">
      <w:pPr>
        <w:keepNext/>
        <w:spacing w:before="80" w:after="60"/>
        <w:jc w:val="center"/>
      </w:pPr>
      <w:r>
        <w:rPr>
          <w:rFonts w:ascii="Times New Roman" w:hAnsi="Times New Roman" w:eastAsia="Times New Roman" w:cs="Times New Roman"/>
          <w:b/>
          <w:sz w:val="20"/>
        </w:rPr>
        <w:t>Table 4. Reliability Comparison</w:t>
      </w:r>
    </w:p>
    <w:tbl>
      <w:tblPr>
        <w:tblStyle w:val="35"/>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gridCol w:w="1233"/>
      </w:tblGrid>
      <w:tr w14:paraId="4A8A973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1233" w:type="dxa"/>
            <w:shd w:val="clear" w:color="auto" w:fill="E7E6E6"/>
            <w:vAlign w:val="center"/>
          </w:tcPr>
          <w:p w14:paraId="6585E8B5">
            <w:pPr>
              <w:spacing w:before="0" w:after="0" w:line="240" w:lineRule="auto"/>
              <w:jc w:val="left"/>
            </w:pPr>
            <w:r>
              <w:rPr>
                <w:rFonts w:ascii="Times New Roman" w:hAnsi="Times New Roman" w:eastAsia="Times New Roman" w:cs="Times New Roman"/>
                <w:b/>
                <w:sz w:val="17"/>
              </w:rPr>
              <w:t>Workload</w:t>
            </w:r>
          </w:p>
        </w:tc>
        <w:tc>
          <w:tcPr>
            <w:tcW w:w="1233" w:type="dxa"/>
            <w:shd w:val="clear" w:color="auto" w:fill="E7E6E6"/>
            <w:vAlign w:val="center"/>
          </w:tcPr>
          <w:p w14:paraId="5F106A47">
            <w:pPr>
              <w:spacing w:before="0" w:after="0" w:line="240" w:lineRule="auto"/>
              <w:jc w:val="left"/>
            </w:pPr>
            <w:r>
              <w:rPr>
                <w:rFonts w:ascii="Times New Roman" w:hAnsi="Times New Roman" w:eastAsia="Times New Roman" w:cs="Times New Roman"/>
                <w:b/>
                <w:sz w:val="17"/>
              </w:rPr>
              <w:t>EC2 failure rate (%)</w:t>
            </w:r>
          </w:p>
        </w:tc>
        <w:tc>
          <w:tcPr>
            <w:tcW w:w="1233" w:type="dxa"/>
            <w:shd w:val="clear" w:color="auto" w:fill="E7E6E6"/>
            <w:vAlign w:val="center"/>
          </w:tcPr>
          <w:p w14:paraId="3B63C957">
            <w:pPr>
              <w:spacing w:before="0" w:after="0" w:line="240" w:lineRule="auto"/>
              <w:jc w:val="center"/>
            </w:pPr>
            <w:r>
              <w:rPr>
                <w:rFonts w:ascii="Times New Roman" w:hAnsi="Times New Roman" w:eastAsia="Times New Roman" w:cs="Times New Roman"/>
                <w:b/>
                <w:sz w:val="17"/>
              </w:rPr>
              <w:t>Serverless failure rate (%)</w:t>
            </w:r>
          </w:p>
        </w:tc>
        <w:tc>
          <w:tcPr>
            <w:tcW w:w="1233" w:type="dxa"/>
            <w:shd w:val="clear" w:color="auto" w:fill="E7E6E6"/>
            <w:vAlign w:val="center"/>
          </w:tcPr>
          <w:p w14:paraId="754C6A68">
            <w:pPr>
              <w:spacing w:before="0" w:after="0" w:line="240" w:lineRule="auto"/>
              <w:jc w:val="center"/>
            </w:pPr>
            <w:r>
              <w:rPr>
                <w:rFonts w:ascii="Times New Roman" w:hAnsi="Times New Roman" w:eastAsia="Times New Roman" w:cs="Times New Roman"/>
                <w:b/>
                <w:sz w:val="17"/>
              </w:rPr>
              <w:t>Difference (percentage points)</w:t>
            </w:r>
          </w:p>
        </w:tc>
        <w:tc>
          <w:tcPr>
            <w:tcW w:w="1233" w:type="dxa"/>
            <w:shd w:val="clear" w:color="auto" w:fill="E7E6E6"/>
            <w:vAlign w:val="center"/>
          </w:tcPr>
          <w:p w14:paraId="329F28FB">
            <w:pPr>
              <w:spacing w:before="0" w:after="0" w:line="240" w:lineRule="auto"/>
              <w:jc w:val="center"/>
            </w:pPr>
            <w:r>
              <w:rPr>
                <w:rFonts w:ascii="Times New Roman" w:hAnsi="Times New Roman" w:eastAsia="Times New Roman" w:cs="Times New Roman"/>
                <w:b/>
                <w:sz w:val="17"/>
              </w:rPr>
              <w:t>EC2 failed requests</w:t>
            </w:r>
          </w:p>
        </w:tc>
        <w:tc>
          <w:tcPr>
            <w:tcW w:w="1233" w:type="dxa"/>
            <w:shd w:val="clear" w:color="auto" w:fill="E7E6E6"/>
            <w:vAlign w:val="center"/>
          </w:tcPr>
          <w:p w14:paraId="30B7428F">
            <w:pPr>
              <w:spacing w:before="0" w:after="0" w:line="240" w:lineRule="auto"/>
              <w:jc w:val="center"/>
            </w:pPr>
            <w:r>
              <w:rPr>
                <w:rFonts w:ascii="Times New Roman" w:hAnsi="Times New Roman" w:eastAsia="Times New Roman" w:cs="Times New Roman"/>
                <w:b/>
                <w:sz w:val="17"/>
              </w:rPr>
              <w:t>Serverless failed requests</w:t>
            </w:r>
          </w:p>
        </w:tc>
        <w:tc>
          <w:tcPr>
            <w:tcW w:w="1233" w:type="dxa"/>
            <w:shd w:val="clear" w:color="auto" w:fill="E7E6E6"/>
            <w:vAlign w:val="center"/>
          </w:tcPr>
          <w:p w14:paraId="4598F5BD">
            <w:pPr>
              <w:spacing w:before="0" w:after="0" w:line="240" w:lineRule="auto"/>
              <w:jc w:val="center"/>
            </w:pPr>
            <w:r>
              <w:rPr>
                <w:rFonts w:ascii="Times New Roman" w:hAnsi="Times New Roman" w:eastAsia="Times New Roman" w:cs="Times New Roman"/>
                <w:b/>
                <w:sz w:val="17"/>
              </w:rPr>
              <w:t>EC2 successful requests</w:t>
            </w:r>
          </w:p>
        </w:tc>
        <w:tc>
          <w:tcPr>
            <w:tcW w:w="1233" w:type="dxa"/>
            <w:shd w:val="clear" w:color="auto" w:fill="E7E6E6"/>
            <w:vAlign w:val="center"/>
          </w:tcPr>
          <w:p w14:paraId="198A799C">
            <w:pPr>
              <w:spacing w:before="0" w:after="0" w:line="240" w:lineRule="auto"/>
              <w:jc w:val="center"/>
            </w:pPr>
            <w:r>
              <w:rPr>
                <w:rFonts w:ascii="Times New Roman" w:hAnsi="Times New Roman" w:eastAsia="Times New Roman" w:cs="Times New Roman"/>
                <w:b/>
                <w:sz w:val="17"/>
              </w:rPr>
              <w:t>Serverless successful requests</w:t>
            </w:r>
          </w:p>
        </w:tc>
      </w:tr>
      <w:tr w14:paraId="09F09D7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233" w:type="dxa"/>
            <w:vAlign w:val="center"/>
          </w:tcPr>
          <w:p w14:paraId="774CC761">
            <w:pPr>
              <w:spacing w:before="0" w:after="0" w:line="240" w:lineRule="auto"/>
              <w:jc w:val="left"/>
            </w:pPr>
            <w:r>
              <w:rPr>
                <w:rFonts w:ascii="Times New Roman" w:hAnsi="Times New Roman" w:eastAsia="Times New Roman" w:cs="Times New Roman"/>
                <w:b w:val="0"/>
                <w:sz w:val="17"/>
              </w:rPr>
              <w:t>W01</w:t>
            </w:r>
          </w:p>
        </w:tc>
        <w:tc>
          <w:tcPr>
            <w:tcW w:w="1233" w:type="dxa"/>
            <w:vAlign w:val="center"/>
          </w:tcPr>
          <w:p w14:paraId="4C9BAE6C">
            <w:pPr>
              <w:spacing w:before="0" w:after="0" w:line="240" w:lineRule="auto"/>
              <w:jc w:val="left"/>
            </w:pPr>
            <w:r>
              <w:rPr>
                <w:rFonts w:ascii="Times New Roman" w:hAnsi="Times New Roman" w:eastAsia="Times New Roman" w:cs="Times New Roman"/>
                <w:b w:val="0"/>
                <w:sz w:val="17"/>
              </w:rPr>
              <w:t>0.000</w:t>
            </w:r>
          </w:p>
        </w:tc>
        <w:tc>
          <w:tcPr>
            <w:tcW w:w="1233" w:type="dxa"/>
            <w:vAlign w:val="center"/>
          </w:tcPr>
          <w:p w14:paraId="1A2086DA">
            <w:pPr>
              <w:spacing w:before="0" w:after="0" w:line="240" w:lineRule="auto"/>
              <w:jc w:val="center"/>
            </w:pPr>
            <w:r>
              <w:rPr>
                <w:rFonts w:ascii="Times New Roman" w:hAnsi="Times New Roman" w:eastAsia="Times New Roman" w:cs="Times New Roman"/>
                <w:b w:val="0"/>
                <w:sz w:val="17"/>
              </w:rPr>
              <w:t>0.000</w:t>
            </w:r>
          </w:p>
        </w:tc>
        <w:tc>
          <w:tcPr>
            <w:tcW w:w="1233" w:type="dxa"/>
            <w:vAlign w:val="center"/>
          </w:tcPr>
          <w:p w14:paraId="57A85CDF">
            <w:pPr>
              <w:spacing w:before="0" w:after="0" w:line="240" w:lineRule="auto"/>
              <w:jc w:val="center"/>
            </w:pPr>
            <w:r>
              <w:rPr>
                <w:rFonts w:ascii="Times New Roman" w:hAnsi="Times New Roman" w:eastAsia="Times New Roman" w:cs="Times New Roman"/>
                <w:b w:val="0"/>
                <w:sz w:val="17"/>
              </w:rPr>
              <w:t>+0.000 pp</w:t>
            </w:r>
          </w:p>
        </w:tc>
        <w:tc>
          <w:tcPr>
            <w:tcW w:w="1233" w:type="dxa"/>
            <w:vAlign w:val="center"/>
          </w:tcPr>
          <w:p w14:paraId="69BAF66B">
            <w:pPr>
              <w:spacing w:before="0" w:after="0" w:line="240" w:lineRule="auto"/>
              <w:jc w:val="center"/>
            </w:pPr>
            <w:r>
              <w:rPr>
                <w:rFonts w:ascii="Times New Roman" w:hAnsi="Times New Roman" w:eastAsia="Times New Roman" w:cs="Times New Roman"/>
                <w:b w:val="0"/>
                <w:sz w:val="17"/>
              </w:rPr>
              <w:t>0</w:t>
            </w:r>
          </w:p>
        </w:tc>
        <w:tc>
          <w:tcPr>
            <w:tcW w:w="1233" w:type="dxa"/>
            <w:vAlign w:val="center"/>
          </w:tcPr>
          <w:p w14:paraId="0768F37C">
            <w:pPr>
              <w:spacing w:before="0" w:after="0" w:line="240" w:lineRule="auto"/>
              <w:jc w:val="center"/>
            </w:pPr>
            <w:r>
              <w:rPr>
                <w:rFonts w:ascii="Times New Roman" w:hAnsi="Times New Roman" w:eastAsia="Times New Roman" w:cs="Times New Roman"/>
                <w:b w:val="0"/>
                <w:sz w:val="17"/>
              </w:rPr>
              <w:t>0</w:t>
            </w:r>
          </w:p>
        </w:tc>
        <w:tc>
          <w:tcPr>
            <w:tcW w:w="1233" w:type="dxa"/>
            <w:vAlign w:val="center"/>
          </w:tcPr>
          <w:p w14:paraId="12DF88F0">
            <w:pPr>
              <w:spacing w:before="0" w:after="0" w:line="240" w:lineRule="auto"/>
              <w:jc w:val="center"/>
            </w:pPr>
            <w:r>
              <w:rPr>
                <w:rFonts w:ascii="Times New Roman" w:hAnsi="Times New Roman" w:eastAsia="Times New Roman" w:cs="Times New Roman"/>
                <w:b w:val="0"/>
                <w:sz w:val="17"/>
              </w:rPr>
              <w:t>1766</w:t>
            </w:r>
          </w:p>
        </w:tc>
        <w:tc>
          <w:tcPr>
            <w:tcW w:w="1233" w:type="dxa"/>
            <w:vAlign w:val="center"/>
          </w:tcPr>
          <w:p w14:paraId="720D2027">
            <w:pPr>
              <w:spacing w:before="0" w:after="0" w:line="240" w:lineRule="auto"/>
              <w:jc w:val="center"/>
            </w:pPr>
            <w:r>
              <w:rPr>
                <w:rFonts w:ascii="Times New Roman" w:hAnsi="Times New Roman" w:eastAsia="Times New Roman" w:cs="Times New Roman"/>
                <w:b w:val="0"/>
                <w:sz w:val="17"/>
              </w:rPr>
              <w:t>1771</w:t>
            </w:r>
          </w:p>
        </w:tc>
      </w:tr>
      <w:tr w14:paraId="7B28E77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233" w:type="dxa"/>
            <w:shd w:val="clear" w:color="auto" w:fill="F7F7F7"/>
            <w:vAlign w:val="center"/>
          </w:tcPr>
          <w:p w14:paraId="0B2D0DAD">
            <w:pPr>
              <w:spacing w:before="0" w:after="0" w:line="240" w:lineRule="auto"/>
              <w:jc w:val="left"/>
            </w:pPr>
            <w:r>
              <w:rPr>
                <w:rFonts w:ascii="Times New Roman" w:hAnsi="Times New Roman" w:eastAsia="Times New Roman" w:cs="Times New Roman"/>
                <w:b w:val="0"/>
                <w:sz w:val="17"/>
              </w:rPr>
              <w:t>W02</w:t>
            </w:r>
          </w:p>
        </w:tc>
        <w:tc>
          <w:tcPr>
            <w:tcW w:w="1233" w:type="dxa"/>
            <w:shd w:val="clear" w:color="auto" w:fill="F7F7F7"/>
            <w:vAlign w:val="center"/>
          </w:tcPr>
          <w:p w14:paraId="43920213">
            <w:pPr>
              <w:spacing w:before="0" w:after="0" w:line="240" w:lineRule="auto"/>
              <w:jc w:val="left"/>
            </w:pPr>
            <w:r>
              <w:rPr>
                <w:rFonts w:ascii="Times New Roman" w:hAnsi="Times New Roman" w:eastAsia="Times New Roman" w:cs="Times New Roman"/>
                <w:b w:val="0"/>
                <w:sz w:val="17"/>
              </w:rPr>
              <w:t>0.000</w:t>
            </w:r>
          </w:p>
        </w:tc>
        <w:tc>
          <w:tcPr>
            <w:tcW w:w="1233" w:type="dxa"/>
            <w:shd w:val="clear" w:color="auto" w:fill="F7F7F7"/>
            <w:vAlign w:val="center"/>
          </w:tcPr>
          <w:p w14:paraId="6EFE6CDE">
            <w:pPr>
              <w:spacing w:before="0" w:after="0" w:line="240" w:lineRule="auto"/>
              <w:jc w:val="center"/>
            </w:pPr>
            <w:r>
              <w:rPr>
                <w:rFonts w:ascii="Times New Roman" w:hAnsi="Times New Roman" w:eastAsia="Times New Roman" w:cs="Times New Roman"/>
                <w:b w:val="0"/>
                <w:sz w:val="17"/>
              </w:rPr>
              <w:t>0.115</w:t>
            </w:r>
          </w:p>
        </w:tc>
        <w:tc>
          <w:tcPr>
            <w:tcW w:w="1233" w:type="dxa"/>
            <w:shd w:val="clear" w:color="auto" w:fill="F7F7F7"/>
            <w:vAlign w:val="center"/>
          </w:tcPr>
          <w:p w14:paraId="6F108BAA">
            <w:pPr>
              <w:spacing w:before="0" w:after="0" w:line="240" w:lineRule="auto"/>
              <w:jc w:val="center"/>
            </w:pPr>
            <w:r>
              <w:rPr>
                <w:rFonts w:ascii="Times New Roman" w:hAnsi="Times New Roman" w:eastAsia="Times New Roman" w:cs="Times New Roman"/>
                <w:b w:val="0"/>
                <w:sz w:val="17"/>
              </w:rPr>
              <w:t>+0.115 pp</w:t>
            </w:r>
          </w:p>
        </w:tc>
        <w:tc>
          <w:tcPr>
            <w:tcW w:w="1233" w:type="dxa"/>
            <w:shd w:val="clear" w:color="auto" w:fill="F7F7F7"/>
            <w:vAlign w:val="center"/>
          </w:tcPr>
          <w:p w14:paraId="4559FD7D">
            <w:pPr>
              <w:spacing w:before="0" w:after="0" w:line="240" w:lineRule="auto"/>
              <w:jc w:val="center"/>
            </w:pPr>
            <w:r>
              <w:rPr>
                <w:rFonts w:ascii="Times New Roman" w:hAnsi="Times New Roman" w:eastAsia="Times New Roman" w:cs="Times New Roman"/>
                <w:b w:val="0"/>
                <w:sz w:val="17"/>
              </w:rPr>
              <w:t>0</w:t>
            </w:r>
          </w:p>
        </w:tc>
        <w:tc>
          <w:tcPr>
            <w:tcW w:w="1233" w:type="dxa"/>
            <w:shd w:val="clear" w:color="auto" w:fill="F7F7F7"/>
            <w:vAlign w:val="center"/>
          </w:tcPr>
          <w:p w14:paraId="5061D8B9">
            <w:pPr>
              <w:spacing w:before="0" w:after="0" w:line="240" w:lineRule="auto"/>
              <w:jc w:val="center"/>
            </w:pPr>
            <w:r>
              <w:rPr>
                <w:rFonts w:ascii="Times New Roman" w:hAnsi="Times New Roman" w:eastAsia="Times New Roman" w:cs="Times New Roman"/>
                <w:b w:val="0"/>
                <w:sz w:val="17"/>
              </w:rPr>
              <w:t>5</w:t>
            </w:r>
          </w:p>
        </w:tc>
        <w:tc>
          <w:tcPr>
            <w:tcW w:w="1233" w:type="dxa"/>
            <w:shd w:val="clear" w:color="auto" w:fill="F7F7F7"/>
            <w:vAlign w:val="center"/>
          </w:tcPr>
          <w:p w14:paraId="1BDFF7F6">
            <w:pPr>
              <w:spacing w:before="0" w:after="0" w:line="240" w:lineRule="auto"/>
              <w:jc w:val="center"/>
            </w:pPr>
            <w:r>
              <w:rPr>
                <w:rFonts w:ascii="Times New Roman" w:hAnsi="Times New Roman" w:eastAsia="Times New Roman" w:cs="Times New Roman"/>
                <w:b w:val="0"/>
                <w:sz w:val="17"/>
              </w:rPr>
              <w:t>4679</w:t>
            </w:r>
          </w:p>
        </w:tc>
        <w:tc>
          <w:tcPr>
            <w:tcW w:w="1233" w:type="dxa"/>
            <w:shd w:val="clear" w:color="auto" w:fill="F7F7F7"/>
            <w:vAlign w:val="center"/>
          </w:tcPr>
          <w:p w14:paraId="5D6B6BB2">
            <w:pPr>
              <w:spacing w:before="0" w:after="0" w:line="240" w:lineRule="auto"/>
              <w:jc w:val="center"/>
            </w:pPr>
            <w:r>
              <w:rPr>
                <w:rFonts w:ascii="Times New Roman" w:hAnsi="Times New Roman" w:eastAsia="Times New Roman" w:cs="Times New Roman"/>
                <w:b w:val="0"/>
                <w:sz w:val="17"/>
              </w:rPr>
              <w:t>4902</w:t>
            </w:r>
          </w:p>
        </w:tc>
      </w:tr>
      <w:tr w14:paraId="002597F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233" w:type="dxa"/>
            <w:vAlign w:val="center"/>
          </w:tcPr>
          <w:p w14:paraId="51946729">
            <w:pPr>
              <w:spacing w:before="0" w:after="0" w:line="240" w:lineRule="auto"/>
              <w:jc w:val="left"/>
            </w:pPr>
            <w:r>
              <w:rPr>
                <w:rFonts w:ascii="Times New Roman" w:hAnsi="Times New Roman" w:eastAsia="Times New Roman" w:cs="Times New Roman"/>
                <w:b w:val="0"/>
                <w:sz w:val="17"/>
              </w:rPr>
              <w:t>W03</w:t>
            </w:r>
          </w:p>
        </w:tc>
        <w:tc>
          <w:tcPr>
            <w:tcW w:w="1233" w:type="dxa"/>
            <w:vAlign w:val="center"/>
          </w:tcPr>
          <w:p w14:paraId="1647CB21">
            <w:pPr>
              <w:spacing w:before="0" w:after="0" w:line="240" w:lineRule="auto"/>
              <w:jc w:val="left"/>
            </w:pPr>
            <w:r>
              <w:rPr>
                <w:rFonts w:ascii="Times New Roman" w:hAnsi="Times New Roman" w:eastAsia="Times New Roman" w:cs="Times New Roman"/>
                <w:b w:val="0"/>
                <w:sz w:val="17"/>
              </w:rPr>
              <w:t>0.000</w:t>
            </w:r>
          </w:p>
        </w:tc>
        <w:tc>
          <w:tcPr>
            <w:tcW w:w="1233" w:type="dxa"/>
            <w:vAlign w:val="center"/>
          </w:tcPr>
          <w:p w14:paraId="6B74370A">
            <w:pPr>
              <w:spacing w:before="0" w:after="0" w:line="240" w:lineRule="auto"/>
              <w:jc w:val="center"/>
            </w:pPr>
            <w:r>
              <w:rPr>
                <w:rFonts w:ascii="Times New Roman" w:hAnsi="Times New Roman" w:eastAsia="Times New Roman" w:cs="Times New Roman"/>
                <w:b w:val="0"/>
                <w:sz w:val="17"/>
              </w:rPr>
              <w:t>4.086</w:t>
            </w:r>
          </w:p>
        </w:tc>
        <w:tc>
          <w:tcPr>
            <w:tcW w:w="1233" w:type="dxa"/>
            <w:vAlign w:val="center"/>
          </w:tcPr>
          <w:p w14:paraId="321E7594">
            <w:pPr>
              <w:spacing w:before="0" w:after="0" w:line="240" w:lineRule="auto"/>
              <w:jc w:val="center"/>
            </w:pPr>
            <w:r>
              <w:rPr>
                <w:rFonts w:ascii="Times New Roman" w:hAnsi="Times New Roman" w:eastAsia="Times New Roman" w:cs="Times New Roman"/>
                <w:b w:val="0"/>
                <w:sz w:val="17"/>
              </w:rPr>
              <w:t>+4.086 pp</w:t>
            </w:r>
          </w:p>
        </w:tc>
        <w:tc>
          <w:tcPr>
            <w:tcW w:w="1233" w:type="dxa"/>
            <w:vAlign w:val="center"/>
          </w:tcPr>
          <w:p w14:paraId="671841D8">
            <w:pPr>
              <w:spacing w:before="0" w:after="0" w:line="240" w:lineRule="auto"/>
              <w:jc w:val="center"/>
            </w:pPr>
            <w:r>
              <w:rPr>
                <w:rFonts w:ascii="Times New Roman" w:hAnsi="Times New Roman" w:eastAsia="Times New Roman" w:cs="Times New Roman"/>
                <w:b w:val="0"/>
                <w:sz w:val="17"/>
              </w:rPr>
              <w:t>0</w:t>
            </w:r>
          </w:p>
        </w:tc>
        <w:tc>
          <w:tcPr>
            <w:tcW w:w="1233" w:type="dxa"/>
            <w:vAlign w:val="center"/>
          </w:tcPr>
          <w:p w14:paraId="53FF8E2F">
            <w:pPr>
              <w:spacing w:before="0" w:after="0" w:line="240" w:lineRule="auto"/>
              <w:jc w:val="center"/>
            </w:pPr>
            <w:r>
              <w:rPr>
                <w:rFonts w:ascii="Times New Roman" w:hAnsi="Times New Roman" w:eastAsia="Times New Roman" w:cs="Times New Roman"/>
                <w:b w:val="0"/>
                <w:sz w:val="17"/>
              </w:rPr>
              <w:t>278</w:t>
            </w:r>
          </w:p>
        </w:tc>
        <w:tc>
          <w:tcPr>
            <w:tcW w:w="1233" w:type="dxa"/>
            <w:vAlign w:val="center"/>
          </w:tcPr>
          <w:p w14:paraId="5B3FDC40">
            <w:pPr>
              <w:spacing w:before="0" w:after="0" w:line="240" w:lineRule="auto"/>
              <w:jc w:val="center"/>
            </w:pPr>
            <w:r>
              <w:rPr>
                <w:rFonts w:ascii="Times New Roman" w:hAnsi="Times New Roman" w:eastAsia="Times New Roman" w:cs="Times New Roman"/>
                <w:b w:val="0"/>
                <w:sz w:val="17"/>
              </w:rPr>
              <w:t>7744</w:t>
            </w:r>
          </w:p>
        </w:tc>
        <w:tc>
          <w:tcPr>
            <w:tcW w:w="1233" w:type="dxa"/>
            <w:vAlign w:val="center"/>
          </w:tcPr>
          <w:p w14:paraId="710A3B3B">
            <w:pPr>
              <w:spacing w:before="0" w:after="0" w:line="240" w:lineRule="auto"/>
              <w:jc w:val="center"/>
            </w:pPr>
            <w:r>
              <w:rPr>
                <w:rFonts w:ascii="Times New Roman" w:hAnsi="Times New Roman" w:eastAsia="Times New Roman" w:cs="Times New Roman"/>
                <w:b w:val="0"/>
                <w:sz w:val="17"/>
              </w:rPr>
              <w:t>7034</w:t>
            </w:r>
          </w:p>
        </w:tc>
      </w:tr>
      <w:tr w14:paraId="7B9278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233" w:type="dxa"/>
            <w:shd w:val="clear" w:color="auto" w:fill="F7F7F7"/>
            <w:vAlign w:val="center"/>
          </w:tcPr>
          <w:p w14:paraId="45746B61">
            <w:pPr>
              <w:spacing w:before="0" w:after="0" w:line="240" w:lineRule="auto"/>
              <w:jc w:val="left"/>
            </w:pPr>
            <w:r>
              <w:rPr>
                <w:rFonts w:ascii="Times New Roman" w:hAnsi="Times New Roman" w:eastAsia="Times New Roman" w:cs="Times New Roman"/>
                <w:b w:val="0"/>
                <w:sz w:val="17"/>
              </w:rPr>
              <w:t>W04</w:t>
            </w:r>
          </w:p>
        </w:tc>
        <w:tc>
          <w:tcPr>
            <w:tcW w:w="1233" w:type="dxa"/>
            <w:shd w:val="clear" w:color="auto" w:fill="F7F7F7"/>
            <w:vAlign w:val="center"/>
          </w:tcPr>
          <w:p w14:paraId="1CC5C172">
            <w:pPr>
              <w:spacing w:before="0" w:after="0" w:line="240" w:lineRule="auto"/>
              <w:jc w:val="left"/>
            </w:pPr>
            <w:r>
              <w:rPr>
                <w:rFonts w:ascii="Times New Roman" w:hAnsi="Times New Roman" w:eastAsia="Times New Roman" w:cs="Times New Roman"/>
                <w:b w:val="0"/>
                <w:sz w:val="17"/>
              </w:rPr>
              <w:t>0.000</w:t>
            </w:r>
          </w:p>
        </w:tc>
        <w:tc>
          <w:tcPr>
            <w:tcW w:w="1233" w:type="dxa"/>
            <w:shd w:val="clear" w:color="auto" w:fill="F7F7F7"/>
            <w:vAlign w:val="center"/>
          </w:tcPr>
          <w:p w14:paraId="09BEB380">
            <w:pPr>
              <w:spacing w:before="0" w:after="0" w:line="240" w:lineRule="auto"/>
              <w:jc w:val="center"/>
            </w:pPr>
            <w:r>
              <w:rPr>
                <w:rFonts w:ascii="Times New Roman" w:hAnsi="Times New Roman" w:eastAsia="Times New Roman" w:cs="Times New Roman"/>
                <w:b w:val="0"/>
                <w:sz w:val="17"/>
              </w:rPr>
              <w:t>0.434</w:t>
            </w:r>
          </w:p>
        </w:tc>
        <w:tc>
          <w:tcPr>
            <w:tcW w:w="1233" w:type="dxa"/>
            <w:shd w:val="clear" w:color="auto" w:fill="F7F7F7"/>
            <w:vAlign w:val="center"/>
          </w:tcPr>
          <w:p w14:paraId="6AF550F8">
            <w:pPr>
              <w:spacing w:before="0" w:after="0" w:line="240" w:lineRule="auto"/>
              <w:jc w:val="center"/>
            </w:pPr>
            <w:r>
              <w:rPr>
                <w:rFonts w:ascii="Times New Roman" w:hAnsi="Times New Roman" w:eastAsia="Times New Roman" w:cs="Times New Roman"/>
                <w:b w:val="0"/>
                <w:sz w:val="17"/>
              </w:rPr>
              <w:t>+0.434 pp</w:t>
            </w:r>
          </w:p>
        </w:tc>
        <w:tc>
          <w:tcPr>
            <w:tcW w:w="1233" w:type="dxa"/>
            <w:shd w:val="clear" w:color="auto" w:fill="F7F7F7"/>
            <w:vAlign w:val="center"/>
          </w:tcPr>
          <w:p w14:paraId="0E58B00B">
            <w:pPr>
              <w:spacing w:before="0" w:after="0" w:line="240" w:lineRule="auto"/>
              <w:jc w:val="center"/>
            </w:pPr>
            <w:r>
              <w:rPr>
                <w:rFonts w:ascii="Times New Roman" w:hAnsi="Times New Roman" w:eastAsia="Times New Roman" w:cs="Times New Roman"/>
                <w:b w:val="0"/>
                <w:sz w:val="17"/>
              </w:rPr>
              <w:t>0</w:t>
            </w:r>
          </w:p>
        </w:tc>
        <w:tc>
          <w:tcPr>
            <w:tcW w:w="1233" w:type="dxa"/>
            <w:shd w:val="clear" w:color="auto" w:fill="F7F7F7"/>
            <w:vAlign w:val="center"/>
          </w:tcPr>
          <w:p w14:paraId="452C0C78">
            <w:pPr>
              <w:spacing w:before="0" w:after="0" w:line="240" w:lineRule="auto"/>
              <w:jc w:val="center"/>
            </w:pPr>
            <w:r>
              <w:rPr>
                <w:rFonts w:ascii="Times New Roman" w:hAnsi="Times New Roman" w:eastAsia="Times New Roman" w:cs="Times New Roman"/>
                <w:b w:val="0"/>
                <w:sz w:val="17"/>
              </w:rPr>
              <w:t>46</w:t>
            </w:r>
          </w:p>
        </w:tc>
        <w:tc>
          <w:tcPr>
            <w:tcW w:w="1233" w:type="dxa"/>
            <w:shd w:val="clear" w:color="auto" w:fill="F7F7F7"/>
            <w:vAlign w:val="center"/>
          </w:tcPr>
          <w:p w14:paraId="47F04684">
            <w:pPr>
              <w:spacing w:before="0" w:after="0" w:line="240" w:lineRule="auto"/>
              <w:jc w:val="center"/>
            </w:pPr>
            <w:r>
              <w:rPr>
                <w:rFonts w:ascii="Times New Roman" w:hAnsi="Times New Roman" w:eastAsia="Times New Roman" w:cs="Times New Roman"/>
                <w:b w:val="0"/>
                <w:sz w:val="17"/>
              </w:rPr>
              <w:t>9226</w:t>
            </w:r>
          </w:p>
        </w:tc>
        <w:tc>
          <w:tcPr>
            <w:tcW w:w="1233" w:type="dxa"/>
            <w:shd w:val="clear" w:color="auto" w:fill="F7F7F7"/>
            <w:vAlign w:val="center"/>
          </w:tcPr>
          <w:p w14:paraId="122181AD">
            <w:pPr>
              <w:spacing w:before="0" w:after="0" w:line="240" w:lineRule="auto"/>
              <w:jc w:val="center"/>
            </w:pPr>
            <w:r>
              <w:rPr>
                <w:rFonts w:ascii="Times New Roman" w:hAnsi="Times New Roman" w:eastAsia="Times New Roman" w:cs="Times New Roman"/>
                <w:b w:val="0"/>
                <w:sz w:val="17"/>
              </w:rPr>
              <w:t>10517</w:t>
            </w:r>
          </w:p>
        </w:tc>
      </w:tr>
      <w:tr w14:paraId="77AA2F3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233" w:type="dxa"/>
            <w:vAlign w:val="center"/>
          </w:tcPr>
          <w:p w14:paraId="1FC56374">
            <w:pPr>
              <w:spacing w:before="0" w:after="0" w:line="240" w:lineRule="auto"/>
              <w:jc w:val="left"/>
            </w:pPr>
            <w:r>
              <w:rPr>
                <w:rFonts w:ascii="Times New Roman" w:hAnsi="Times New Roman" w:eastAsia="Times New Roman" w:cs="Times New Roman"/>
                <w:b w:val="0"/>
                <w:sz w:val="17"/>
              </w:rPr>
              <w:t>W05</w:t>
            </w:r>
          </w:p>
        </w:tc>
        <w:tc>
          <w:tcPr>
            <w:tcW w:w="1233" w:type="dxa"/>
            <w:vAlign w:val="center"/>
          </w:tcPr>
          <w:p w14:paraId="0F0E32C4">
            <w:pPr>
              <w:spacing w:before="0" w:after="0" w:line="240" w:lineRule="auto"/>
              <w:jc w:val="left"/>
            </w:pPr>
            <w:r>
              <w:rPr>
                <w:rFonts w:ascii="Times New Roman" w:hAnsi="Times New Roman" w:eastAsia="Times New Roman" w:cs="Times New Roman"/>
                <w:b w:val="0"/>
                <w:sz w:val="17"/>
              </w:rPr>
              <w:t>0.000</w:t>
            </w:r>
          </w:p>
        </w:tc>
        <w:tc>
          <w:tcPr>
            <w:tcW w:w="1233" w:type="dxa"/>
            <w:vAlign w:val="center"/>
          </w:tcPr>
          <w:p w14:paraId="158C630A">
            <w:pPr>
              <w:spacing w:before="0" w:after="0" w:line="240" w:lineRule="auto"/>
              <w:jc w:val="center"/>
            </w:pPr>
            <w:r>
              <w:rPr>
                <w:rFonts w:ascii="Times New Roman" w:hAnsi="Times New Roman" w:eastAsia="Times New Roman" w:cs="Times New Roman"/>
                <w:b w:val="0"/>
                <w:sz w:val="17"/>
              </w:rPr>
              <w:t>0.916</w:t>
            </w:r>
          </w:p>
        </w:tc>
        <w:tc>
          <w:tcPr>
            <w:tcW w:w="1233" w:type="dxa"/>
            <w:vAlign w:val="center"/>
          </w:tcPr>
          <w:p w14:paraId="2BB2AE27">
            <w:pPr>
              <w:spacing w:before="0" w:after="0" w:line="240" w:lineRule="auto"/>
              <w:jc w:val="center"/>
            </w:pPr>
            <w:r>
              <w:rPr>
                <w:rFonts w:ascii="Times New Roman" w:hAnsi="Times New Roman" w:eastAsia="Times New Roman" w:cs="Times New Roman"/>
                <w:b w:val="0"/>
                <w:sz w:val="17"/>
              </w:rPr>
              <w:t>+0.916 pp</w:t>
            </w:r>
          </w:p>
        </w:tc>
        <w:tc>
          <w:tcPr>
            <w:tcW w:w="1233" w:type="dxa"/>
            <w:vAlign w:val="center"/>
          </w:tcPr>
          <w:p w14:paraId="138C74E5">
            <w:pPr>
              <w:spacing w:before="0" w:after="0" w:line="240" w:lineRule="auto"/>
              <w:jc w:val="center"/>
            </w:pPr>
            <w:r>
              <w:rPr>
                <w:rFonts w:ascii="Times New Roman" w:hAnsi="Times New Roman" w:eastAsia="Times New Roman" w:cs="Times New Roman"/>
                <w:b w:val="0"/>
                <w:sz w:val="17"/>
              </w:rPr>
              <w:t>0</w:t>
            </w:r>
          </w:p>
        </w:tc>
        <w:tc>
          <w:tcPr>
            <w:tcW w:w="1233" w:type="dxa"/>
            <w:vAlign w:val="center"/>
          </w:tcPr>
          <w:p w14:paraId="649F907D">
            <w:pPr>
              <w:spacing w:before="0" w:after="0" w:line="240" w:lineRule="auto"/>
              <w:jc w:val="center"/>
            </w:pPr>
            <w:r>
              <w:rPr>
                <w:rFonts w:ascii="Times New Roman" w:hAnsi="Times New Roman" w:eastAsia="Times New Roman" w:cs="Times New Roman"/>
                <w:b w:val="0"/>
                <w:sz w:val="17"/>
              </w:rPr>
              <w:t>90</w:t>
            </w:r>
          </w:p>
        </w:tc>
        <w:tc>
          <w:tcPr>
            <w:tcW w:w="1233" w:type="dxa"/>
            <w:vAlign w:val="center"/>
          </w:tcPr>
          <w:p w14:paraId="65AAFF9F">
            <w:pPr>
              <w:spacing w:before="0" w:after="0" w:line="240" w:lineRule="auto"/>
              <w:jc w:val="center"/>
            </w:pPr>
            <w:r>
              <w:rPr>
                <w:rFonts w:ascii="Times New Roman" w:hAnsi="Times New Roman" w:eastAsia="Times New Roman" w:cs="Times New Roman"/>
                <w:b w:val="0"/>
                <w:sz w:val="17"/>
              </w:rPr>
              <w:t>7845</w:t>
            </w:r>
          </w:p>
        </w:tc>
        <w:tc>
          <w:tcPr>
            <w:tcW w:w="1233" w:type="dxa"/>
            <w:vAlign w:val="center"/>
          </w:tcPr>
          <w:p w14:paraId="00A5963D">
            <w:pPr>
              <w:spacing w:before="0" w:after="0" w:line="240" w:lineRule="auto"/>
              <w:jc w:val="center"/>
            </w:pPr>
            <w:r>
              <w:rPr>
                <w:rFonts w:ascii="Times New Roman" w:hAnsi="Times New Roman" w:eastAsia="Times New Roman" w:cs="Times New Roman"/>
                <w:b w:val="0"/>
                <w:sz w:val="17"/>
              </w:rPr>
              <w:t>9970</w:t>
            </w:r>
          </w:p>
        </w:tc>
      </w:tr>
      <w:tr w14:paraId="7EA4D9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233" w:type="dxa"/>
            <w:shd w:val="clear" w:color="auto" w:fill="F7F7F7"/>
            <w:vAlign w:val="center"/>
          </w:tcPr>
          <w:p w14:paraId="388A6A28">
            <w:pPr>
              <w:spacing w:before="0" w:after="0" w:line="240" w:lineRule="auto"/>
              <w:jc w:val="left"/>
            </w:pPr>
            <w:r>
              <w:rPr>
                <w:rFonts w:ascii="Times New Roman" w:hAnsi="Times New Roman" w:eastAsia="Times New Roman" w:cs="Times New Roman"/>
                <w:b w:val="0"/>
                <w:sz w:val="17"/>
              </w:rPr>
              <w:t>W06</w:t>
            </w:r>
          </w:p>
        </w:tc>
        <w:tc>
          <w:tcPr>
            <w:tcW w:w="1233" w:type="dxa"/>
            <w:shd w:val="clear" w:color="auto" w:fill="F7F7F7"/>
            <w:vAlign w:val="center"/>
          </w:tcPr>
          <w:p w14:paraId="7C75B930">
            <w:pPr>
              <w:spacing w:before="0" w:after="0" w:line="240" w:lineRule="auto"/>
              <w:jc w:val="left"/>
            </w:pPr>
            <w:r>
              <w:rPr>
                <w:rFonts w:ascii="Times New Roman" w:hAnsi="Times New Roman" w:eastAsia="Times New Roman" w:cs="Times New Roman"/>
                <w:b w:val="0"/>
                <w:sz w:val="17"/>
              </w:rPr>
              <w:t>0.110</w:t>
            </w:r>
          </w:p>
        </w:tc>
        <w:tc>
          <w:tcPr>
            <w:tcW w:w="1233" w:type="dxa"/>
            <w:shd w:val="clear" w:color="auto" w:fill="F7F7F7"/>
            <w:vAlign w:val="center"/>
          </w:tcPr>
          <w:p w14:paraId="4EDB67CD">
            <w:pPr>
              <w:spacing w:before="0" w:after="0" w:line="240" w:lineRule="auto"/>
              <w:jc w:val="center"/>
            </w:pPr>
            <w:r>
              <w:rPr>
                <w:rFonts w:ascii="Times New Roman" w:hAnsi="Times New Roman" w:eastAsia="Times New Roman" w:cs="Times New Roman"/>
                <w:b w:val="0"/>
                <w:sz w:val="17"/>
              </w:rPr>
              <w:t>1.354</w:t>
            </w:r>
          </w:p>
        </w:tc>
        <w:tc>
          <w:tcPr>
            <w:tcW w:w="1233" w:type="dxa"/>
            <w:shd w:val="clear" w:color="auto" w:fill="F7F7F7"/>
            <w:vAlign w:val="center"/>
          </w:tcPr>
          <w:p w14:paraId="68C73AF6">
            <w:pPr>
              <w:spacing w:before="0" w:after="0" w:line="240" w:lineRule="auto"/>
              <w:jc w:val="center"/>
            </w:pPr>
            <w:r>
              <w:rPr>
                <w:rFonts w:ascii="Times New Roman" w:hAnsi="Times New Roman" w:eastAsia="Times New Roman" w:cs="Times New Roman"/>
                <w:b w:val="0"/>
                <w:sz w:val="17"/>
              </w:rPr>
              <w:t>+1.243 pp</w:t>
            </w:r>
          </w:p>
        </w:tc>
        <w:tc>
          <w:tcPr>
            <w:tcW w:w="1233" w:type="dxa"/>
            <w:shd w:val="clear" w:color="auto" w:fill="F7F7F7"/>
            <w:vAlign w:val="center"/>
          </w:tcPr>
          <w:p w14:paraId="57BC575A">
            <w:pPr>
              <w:spacing w:before="0" w:after="0" w:line="240" w:lineRule="auto"/>
              <w:jc w:val="center"/>
            </w:pPr>
            <w:r>
              <w:rPr>
                <w:rFonts w:ascii="Times New Roman" w:hAnsi="Times New Roman" w:eastAsia="Times New Roman" w:cs="Times New Roman"/>
                <w:b w:val="0"/>
                <w:sz w:val="17"/>
              </w:rPr>
              <w:t>16</w:t>
            </w:r>
          </w:p>
        </w:tc>
        <w:tc>
          <w:tcPr>
            <w:tcW w:w="1233" w:type="dxa"/>
            <w:shd w:val="clear" w:color="auto" w:fill="F7F7F7"/>
            <w:vAlign w:val="center"/>
          </w:tcPr>
          <w:p w14:paraId="588C32B3">
            <w:pPr>
              <w:spacing w:before="0" w:after="0" w:line="240" w:lineRule="auto"/>
              <w:jc w:val="center"/>
            </w:pPr>
            <w:r>
              <w:rPr>
                <w:rFonts w:ascii="Times New Roman" w:hAnsi="Times New Roman" w:eastAsia="Times New Roman" w:cs="Times New Roman"/>
                <w:b w:val="0"/>
                <w:sz w:val="17"/>
              </w:rPr>
              <w:t>275</w:t>
            </w:r>
          </w:p>
        </w:tc>
        <w:tc>
          <w:tcPr>
            <w:tcW w:w="1233" w:type="dxa"/>
            <w:shd w:val="clear" w:color="auto" w:fill="F7F7F7"/>
            <w:vAlign w:val="center"/>
          </w:tcPr>
          <w:p w14:paraId="76899418">
            <w:pPr>
              <w:spacing w:before="0" w:after="0" w:line="240" w:lineRule="auto"/>
              <w:jc w:val="center"/>
            </w:pPr>
            <w:r>
              <w:rPr>
                <w:rFonts w:ascii="Times New Roman" w:hAnsi="Times New Roman" w:eastAsia="Times New Roman" w:cs="Times New Roman"/>
                <w:b w:val="0"/>
                <w:sz w:val="17"/>
              </w:rPr>
              <w:t>19598</w:t>
            </w:r>
          </w:p>
        </w:tc>
        <w:tc>
          <w:tcPr>
            <w:tcW w:w="1233" w:type="dxa"/>
            <w:shd w:val="clear" w:color="auto" w:fill="F7F7F7"/>
            <w:vAlign w:val="center"/>
          </w:tcPr>
          <w:p w14:paraId="20F7CFA3">
            <w:pPr>
              <w:spacing w:before="0" w:after="0" w:line="240" w:lineRule="auto"/>
              <w:jc w:val="center"/>
            </w:pPr>
            <w:r>
              <w:rPr>
                <w:rFonts w:ascii="Times New Roman" w:hAnsi="Times New Roman" w:eastAsia="Times New Roman" w:cs="Times New Roman"/>
                <w:b w:val="0"/>
                <w:sz w:val="17"/>
              </w:rPr>
              <w:t>21315</w:t>
            </w:r>
          </w:p>
        </w:tc>
      </w:tr>
    </w:tbl>
    <w:p w14:paraId="435699D2">
      <w:pPr>
        <w:spacing w:before="40" w:after="120"/>
      </w:pPr>
      <w:r>
        <w:rPr>
          <w:rFonts w:ascii="Times New Roman" w:hAnsi="Times New Roman" w:eastAsia="Times New Roman" w:cs="Times New Roman"/>
          <w:i/>
          <w:sz w:val="18"/>
        </w:rPr>
        <w:t>Note: Failure-rate difference is expressed in percentage points.</w:t>
      </w:r>
    </w:p>
    <w:p w14:paraId="25EA9E6A">
      <w:pPr>
        <w:spacing w:before="80" w:after="40"/>
        <w:jc w:val="center"/>
      </w:pPr>
      <w:r>
        <w:rPr>
          <w:rFonts w:ascii="Times New Roman" w:hAnsi="Times New Roman" w:eastAsia="Times New Roman" w:cs="Times New Roman"/>
        </w:rPr>
        <w:drawing>
          <wp:inline distT="0" distB="0" distL="114300" distR="114300">
            <wp:extent cx="5532120" cy="3107055"/>
            <wp:effectExtent l="0" t="0" r="1143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32120" cy="3107339"/>
                    </a:xfrm>
                    <a:prstGeom prst="rect">
                      <a:avLst/>
                    </a:prstGeom>
                  </pic:spPr>
                </pic:pic>
              </a:graphicData>
            </a:graphic>
          </wp:inline>
        </w:drawing>
      </w:r>
    </w:p>
    <w:p w14:paraId="7A82DBC3">
      <w:pPr>
        <w:spacing w:after="120"/>
        <w:jc w:val="center"/>
      </w:pPr>
      <w:r>
        <w:rPr>
          <w:rFonts w:ascii="Times New Roman" w:hAnsi="Times New Roman" w:eastAsia="Times New Roman" w:cs="Times New Roman"/>
          <w:i/>
          <w:sz w:val="18"/>
        </w:rPr>
        <w:t>Figure 5. Formal request failure rate by workload.</w:t>
      </w:r>
    </w:p>
    <w:p w14:paraId="282BBB7D">
      <w:pPr>
        <w:pStyle w:val="3"/>
      </w:pPr>
      <w:r>
        <w:rPr>
          <w:rFonts w:ascii="Times New Roman" w:hAnsi="Times New Roman" w:eastAsia="Times New Roman" w:cs="Times New Roman"/>
          <w:sz w:val="22"/>
        </w:rPr>
        <w:t>5.7 Cost Comparison</w:t>
      </w:r>
    </w:p>
    <w:p w14:paraId="3EFDDF08">
      <w:pPr>
        <w:keepNext/>
        <w:spacing w:before="80" w:after="60"/>
        <w:jc w:val="center"/>
      </w:pPr>
      <w:r>
        <w:rPr>
          <w:rFonts w:ascii="Times New Roman" w:hAnsi="Times New Roman" w:eastAsia="Times New Roman" w:cs="Times New Roman"/>
          <w:b/>
          <w:sz w:val="20"/>
        </w:rPr>
        <w:t>Table 5. Estimated Cost Comparison</w:t>
      </w:r>
    </w:p>
    <w:tbl>
      <w:tblPr>
        <w:tblStyle w:val="35"/>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409"/>
        <w:gridCol w:w="1409"/>
        <w:gridCol w:w="1409"/>
        <w:gridCol w:w="1409"/>
        <w:gridCol w:w="1409"/>
        <w:gridCol w:w="1409"/>
        <w:gridCol w:w="1409"/>
      </w:tblGrid>
      <w:tr w14:paraId="6EF789A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1409" w:type="dxa"/>
            <w:shd w:val="clear" w:color="auto" w:fill="E7E6E6"/>
            <w:vAlign w:val="center"/>
          </w:tcPr>
          <w:p w14:paraId="29056FC7">
            <w:pPr>
              <w:spacing w:before="0" w:after="0" w:line="240" w:lineRule="auto"/>
              <w:jc w:val="left"/>
            </w:pPr>
            <w:r>
              <w:rPr>
                <w:rFonts w:ascii="Times New Roman" w:hAnsi="Times New Roman" w:eastAsia="Times New Roman" w:cs="Times New Roman"/>
                <w:b/>
                <w:sz w:val="17"/>
              </w:rPr>
              <w:t>Workload</w:t>
            </w:r>
          </w:p>
        </w:tc>
        <w:tc>
          <w:tcPr>
            <w:tcW w:w="1409" w:type="dxa"/>
            <w:shd w:val="clear" w:color="auto" w:fill="E7E6E6"/>
            <w:vAlign w:val="center"/>
          </w:tcPr>
          <w:p w14:paraId="4459151D">
            <w:pPr>
              <w:spacing w:before="0" w:after="0" w:line="240" w:lineRule="auto"/>
              <w:jc w:val="left"/>
            </w:pPr>
            <w:r>
              <w:rPr>
                <w:rFonts w:ascii="Times New Roman" w:hAnsi="Times New Roman" w:eastAsia="Times New Roman" w:cs="Times New Roman"/>
                <w:b/>
                <w:sz w:val="17"/>
              </w:rPr>
              <w:t>EC2 estimated cost / trial (USD)</w:t>
            </w:r>
          </w:p>
        </w:tc>
        <w:tc>
          <w:tcPr>
            <w:tcW w:w="1409" w:type="dxa"/>
            <w:shd w:val="clear" w:color="auto" w:fill="E7E6E6"/>
            <w:vAlign w:val="center"/>
          </w:tcPr>
          <w:p w14:paraId="3476DDC1">
            <w:pPr>
              <w:spacing w:before="0" w:after="0" w:line="240" w:lineRule="auto"/>
              <w:jc w:val="center"/>
            </w:pPr>
            <w:r>
              <w:rPr>
                <w:rFonts w:ascii="Times New Roman" w:hAnsi="Times New Roman" w:eastAsia="Times New Roman" w:cs="Times New Roman"/>
                <w:b/>
                <w:sz w:val="17"/>
              </w:rPr>
              <w:t>Serverless estimated cost / trial (USD)</w:t>
            </w:r>
          </w:p>
        </w:tc>
        <w:tc>
          <w:tcPr>
            <w:tcW w:w="1409" w:type="dxa"/>
            <w:shd w:val="clear" w:color="auto" w:fill="E7E6E6"/>
            <w:vAlign w:val="center"/>
          </w:tcPr>
          <w:p w14:paraId="033E3C07">
            <w:pPr>
              <w:spacing w:before="0" w:after="0" w:line="240" w:lineRule="auto"/>
              <w:jc w:val="center"/>
            </w:pPr>
            <w:r>
              <w:rPr>
                <w:rFonts w:ascii="Times New Roman" w:hAnsi="Times New Roman" w:eastAsia="Times New Roman" w:cs="Times New Roman"/>
                <w:b/>
                <w:sz w:val="17"/>
              </w:rPr>
              <w:t>EC2 cost / 1,000 success (USD)</w:t>
            </w:r>
          </w:p>
        </w:tc>
        <w:tc>
          <w:tcPr>
            <w:tcW w:w="1409" w:type="dxa"/>
            <w:shd w:val="clear" w:color="auto" w:fill="E7E6E6"/>
            <w:vAlign w:val="center"/>
          </w:tcPr>
          <w:p w14:paraId="5150F7A1">
            <w:pPr>
              <w:spacing w:before="0" w:after="0" w:line="240" w:lineRule="auto"/>
              <w:jc w:val="center"/>
            </w:pPr>
            <w:r>
              <w:rPr>
                <w:rFonts w:ascii="Times New Roman" w:hAnsi="Times New Roman" w:eastAsia="Times New Roman" w:cs="Times New Roman"/>
                <w:b/>
                <w:sz w:val="17"/>
              </w:rPr>
              <w:t>Serverless cost / 1,000 success (USD)</w:t>
            </w:r>
          </w:p>
        </w:tc>
        <w:tc>
          <w:tcPr>
            <w:tcW w:w="1409" w:type="dxa"/>
            <w:shd w:val="clear" w:color="auto" w:fill="E7E6E6"/>
            <w:vAlign w:val="center"/>
          </w:tcPr>
          <w:p w14:paraId="6BE5010E">
            <w:pPr>
              <w:spacing w:before="0" w:after="0" w:line="240" w:lineRule="auto"/>
              <w:jc w:val="center"/>
            </w:pPr>
            <w:r>
              <w:rPr>
                <w:rFonts w:ascii="Times New Roman" w:hAnsi="Times New Roman" w:eastAsia="Times New Roman" w:cs="Times New Roman"/>
                <w:b/>
                <w:sz w:val="17"/>
              </w:rPr>
              <w:t>Serverless vs EC2 cost Δ</w:t>
            </w:r>
          </w:p>
        </w:tc>
        <w:tc>
          <w:tcPr>
            <w:tcW w:w="1409" w:type="dxa"/>
            <w:shd w:val="clear" w:color="auto" w:fill="E7E6E6"/>
            <w:vAlign w:val="center"/>
          </w:tcPr>
          <w:p w14:paraId="419E7A44">
            <w:pPr>
              <w:spacing w:before="0" w:after="0" w:line="240" w:lineRule="auto"/>
              <w:jc w:val="center"/>
            </w:pPr>
            <w:r>
              <w:rPr>
                <w:rFonts w:ascii="Times New Roman" w:hAnsi="Times New Roman" w:eastAsia="Times New Roman" w:cs="Times New Roman"/>
                <w:b/>
                <w:sz w:val="17"/>
              </w:rPr>
              <w:t>Serverless / EC2 cost ratio</w:t>
            </w:r>
          </w:p>
        </w:tc>
      </w:tr>
      <w:tr w14:paraId="45DBDA4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409" w:type="dxa"/>
            <w:vAlign w:val="center"/>
          </w:tcPr>
          <w:p w14:paraId="53AC168D">
            <w:pPr>
              <w:spacing w:before="0" w:after="0" w:line="240" w:lineRule="auto"/>
              <w:jc w:val="left"/>
            </w:pPr>
            <w:r>
              <w:rPr>
                <w:rFonts w:ascii="Times New Roman" w:hAnsi="Times New Roman" w:eastAsia="Times New Roman" w:cs="Times New Roman"/>
                <w:b w:val="0"/>
                <w:sz w:val="17"/>
              </w:rPr>
              <w:t>W01</w:t>
            </w:r>
          </w:p>
        </w:tc>
        <w:tc>
          <w:tcPr>
            <w:tcW w:w="1409" w:type="dxa"/>
            <w:vAlign w:val="center"/>
          </w:tcPr>
          <w:p w14:paraId="0F74E0A6">
            <w:pPr>
              <w:spacing w:before="0" w:after="0" w:line="240" w:lineRule="auto"/>
              <w:jc w:val="left"/>
            </w:pPr>
            <w:r>
              <w:rPr>
                <w:rFonts w:ascii="Times New Roman" w:hAnsi="Times New Roman" w:eastAsia="Times New Roman" w:cs="Times New Roman"/>
                <w:b w:val="0"/>
                <w:sz w:val="17"/>
              </w:rPr>
              <w:t>0.00047356</w:t>
            </w:r>
          </w:p>
        </w:tc>
        <w:tc>
          <w:tcPr>
            <w:tcW w:w="1409" w:type="dxa"/>
            <w:vAlign w:val="center"/>
          </w:tcPr>
          <w:p w14:paraId="0308AFD5">
            <w:pPr>
              <w:spacing w:before="0" w:after="0" w:line="240" w:lineRule="auto"/>
              <w:jc w:val="center"/>
            </w:pPr>
            <w:r>
              <w:rPr>
                <w:rFonts w:ascii="Times New Roman" w:hAnsi="Times New Roman" w:eastAsia="Times New Roman" w:cs="Times New Roman"/>
                <w:b w:val="0"/>
                <w:sz w:val="17"/>
              </w:rPr>
              <w:t>0.00087629</w:t>
            </w:r>
          </w:p>
        </w:tc>
        <w:tc>
          <w:tcPr>
            <w:tcW w:w="1409" w:type="dxa"/>
            <w:vAlign w:val="center"/>
          </w:tcPr>
          <w:p w14:paraId="5234C0B6">
            <w:pPr>
              <w:spacing w:before="0" w:after="0" w:line="240" w:lineRule="auto"/>
              <w:jc w:val="center"/>
            </w:pPr>
            <w:r>
              <w:rPr>
                <w:rFonts w:ascii="Times New Roman" w:hAnsi="Times New Roman" w:eastAsia="Times New Roman" w:cs="Times New Roman"/>
                <w:b w:val="0"/>
                <w:sz w:val="17"/>
              </w:rPr>
              <w:t>0.00080447</w:t>
            </w:r>
          </w:p>
        </w:tc>
        <w:tc>
          <w:tcPr>
            <w:tcW w:w="1409" w:type="dxa"/>
            <w:vAlign w:val="center"/>
          </w:tcPr>
          <w:p w14:paraId="7025E69D">
            <w:pPr>
              <w:spacing w:before="0" w:after="0" w:line="240" w:lineRule="auto"/>
              <w:jc w:val="center"/>
            </w:pPr>
            <w:r>
              <w:rPr>
                <w:rFonts w:ascii="Times New Roman" w:hAnsi="Times New Roman" w:eastAsia="Times New Roman" w:cs="Times New Roman"/>
                <w:b w:val="0"/>
                <w:sz w:val="17"/>
              </w:rPr>
              <w:t>0.00148451</w:t>
            </w:r>
          </w:p>
        </w:tc>
        <w:tc>
          <w:tcPr>
            <w:tcW w:w="1409" w:type="dxa"/>
            <w:vAlign w:val="center"/>
          </w:tcPr>
          <w:p w14:paraId="3909C12C">
            <w:pPr>
              <w:spacing w:before="0" w:after="0" w:line="240" w:lineRule="auto"/>
              <w:jc w:val="center"/>
            </w:pPr>
            <w:r>
              <w:rPr>
                <w:rFonts w:ascii="Times New Roman" w:hAnsi="Times New Roman" w:eastAsia="Times New Roman" w:cs="Times New Roman"/>
                <w:b w:val="0"/>
                <w:sz w:val="17"/>
              </w:rPr>
              <w:t>+84.5%</w:t>
            </w:r>
          </w:p>
        </w:tc>
        <w:tc>
          <w:tcPr>
            <w:tcW w:w="1409" w:type="dxa"/>
            <w:vAlign w:val="center"/>
          </w:tcPr>
          <w:p w14:paraId="1737DE32">
            <w:pPr>
              <w:spacing w:before="0" w:after="0" w:line="240" w:lineRule="auto"/>
              <w:jc w:val="center"/>
            </w:pPr>
            <w:r>
              <w:rPr>
                <w:rFonts w:ascii="Times New Roman" w:hAnsi="Times New Roman" w:eastAsia="Times New Roman" w:cs="Times New Roman"/>
                <w:b w:val="0"/>
                <w:sz w:val="17"/>
              </w:rPr>
              <w:t>1.845</w:t>
            </w:r>
          </w:p>
        </w:tc>
      </w:tr>
      <w:tr w14:paraId="78FCE7D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409" w:type="dxa"/>
            <w:shd w:val="clear" w:color="auto" w:fill="F7F7F7"/>
            <w:vAlign w:val="center"/>
          </w:tcPr>
          <w:p w14:paraId="0222604A">
            <w:pPr>
              <w:spacing w:before="0" w:after="0" w:line="240" w:lineRule="auto"/>
              <w:jc w:val="left"/>
            </w:pPr>
            <w:r>
              <w:rPr>
                <w:rFonts w:ascii="Times New Roman" w:hAnsi="Times New Roman" w:eastAsia="Times New Roman" w:cs="Times New Roman"/>
                <w:b w:val="0"/>
                <w:sz w:val="17"/>
              </w:rPr>
              <w:t>W02</w:t>
            </w:r>
          </w:p>
        </w:tc>
        <w:tc>
          <w:tcPr>
            <w:tcW w:w="1409" w:type="dxa"/>
            <w:shd w:val="clear" w:color="auto" w:fill="F7F7F7"/>
            <w:vAlign w:val="center"/>
          </w:tcPr>
          <w:p w14:paraId="4BDC65E3">
            <w:pPr>
              <w:spacing w:before="0" w:after="0" w:line="240" w:lineRule="auto"/>
              <w:jc w:val="left"/>
            </w:pPr>
            <w:r>
              <w:rPr>
                <w:rFonts w:ascii="Times New Roman" w:hAnsi="Times New Roman" w:eastAsia="Times New Roman" w:cs="Times New Roman"/>
                <w:b w:val="0"/>
                <w:sz w:val="17"/>
              </w:rPr>
              <w:t>0.00047356</w:t>
            </w:r>
          </w:p>
        </w:tc>
        <w:tc>
          <w:tcPr>
            <w:tcW w:w="1409" w:type="dxa"/>
            <w:shd w:val="clear" w:color="auto" w:fill="F7F7F7"/>
            <w:vAlign w:val="center"/>
          </w:tcPr>
          <w:p w14:paraId="1C879D93">
            <w:pPr>
              <w:spacing w:before="0" w:after="0" w:line="240" w:lineRule="auto"/>
              <w:jc w:val="center"/>
            </w:pPr>
            <w:r>
              <w:rPr>
                <w:rFonts w:ascii="Times New Roman" w:hAnsi="Times New Roman" w:eastAsia="Times New Roman" w:cs="Times New Roman"/>
                <w:b w:val="0"/>
                <w:sz w:val="17"/>
              </w:rPr>
              <w:t>0.00205757</w:t>
            </w:r>
          </w:p>
        </w:tc>
        <w:tc>
          <w:tcPr>
            <w:tcW w:w="1409" w:type="dxa"/>
            <w:shd w:val="clear" w:color="auto" w:fill="F7F7F7"/>
            <w:vAlign w:val="center"/>
          </w:tcPr>
          <w:p w14:paraId="58E3702F">
            <w:pPr>
              <w:spacing w:before="0" w:after="0" w:line="240" w:lineRule="auto"/>
              <w:jc w:val="center"/>
            </w:pPr>
            <w:r>
              <w:rPr>
                <w:rFonts w:ascii="Times New Roman" w:hAnsi="Times New Roman" w:eastAsia="Times New Roman" w:cs="Times New Roman"/>
                <w:b w:val="0"/>
                <w:sz w:val="17"/>
              </w:rPr>
              <w:t>0.00031057</w:t>
            </w:r>
          </w:p>
        </w:tc>
        <w:tc>
          <w:tcPr>
            <w:tcW w:w="1409" w:type="dxa"/>
            <w:shd w:val="clear" w:color="auto" w:fill="F7F7F7"/>
            <w:vAlign w:val="center"/>
          </w:tcPr>
          <w:p w14:paraId="7464F31E">
            <w:pPr>
              <w:spacing w:before="0" w:after="0" w:line="240" w:lineRule="auto"/>
              <w:jc w:val="center"/>
            </w:pPr>
            <w:r>
              <w:rPr>
                <w:rFonts w:ascii="Times New Roman" w:hAnsi="Times New Roman" w:eastAsia="Times New Roman" w:cs="Times New Roman"/>
                <w:b w:val="0"/>
                <w:sz w:val="17"/>
              </w:rPr>
              <w:t>0.00129150</w:t>
            </w:r>
          </w:p>
        </w:tc>
        <w:tc>
          <w:tcPr>
            <w:tcW w:w="1409" w:type="dxa"/>
            <w:shd w:val="clear" w:color="auto" w:fill="F7F7F7"/>
            <w:vAlign w:val="center"/>
          </w:tcPr>
          <w:p w14:paraId="2B1D1CD9">
            <w:pPr>
              <w:spacing w:before="0" w:after="0" w:line="240" w:lineRule="auto"/>
              <w:jc w:val="center"/>
            </w:pPr>
            <w:r>
              <w:rPr>
                <w:rFonts w:ascii="Times New Roman" w:hAnsi="Times New Roman" w:eastAsia="Times New Roman" w:cs="Times New Roman"/>
                <w:b w:val="0"/>
                <w:sz w:val="17"/>
              </w:rPr>
              <w:t>+315.9%</w:t>
            </w:r>
          </w:p>
        </w:tc>
        <w:tc>
          <w:tcPr>
            <w:tcW w:w="1409" w:type="dxa"/>
            <w:shd w:val="clear" w:color="auto" w:fill="F7F7F7"/>
            <w:vAlign w:val="center"/>
          </w:tcPr>
          <w:p w14:paraId="330B16CC">
            <w:pPr>
              <w:spacing w:before="0" w:after="0" w:line="240" w:lineRule="auto"/>
              <w:jc w:val="center"/>
            </w:pPr>
            <w:r>
              <w:rPr>
                <w:rFonts w:ascii="Times New Roman" w:hAnsi="Times New Roman" w:eastAsia="Times New Roman" w:cs="Times New Roman"/>
                <w:b w:val="0"/>
                <w:sz w:val="17"/>
              </w:rPr>
              <w:t>4.159</w:t>
            </w:r>
          </w:p>
        </w:tc>
      </w:tr>
      <w:tr w14:paraId="7E8E0E9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409" w:type="dxa"/>
            <w:vAlign w:val="center"/>
          </w:tcPr>
          <w:p w14:paraId="26C71DD0">
            <w:pPr>
              <w:spacing w:before="0" w:after="0" w:line="240" w:lineRule="auto"/>
              <w:jc w:val="left"/>
            </w:pPr>
            <w:r>
              <w:rPr>
                <w:rFonts w:ascii="Times New Roman" w:hAnsi="Times New Roman" w:eastAsia="Times New Roman" w:cs="Times New Roman"/>
                <w:b w:val="0"/>
                <w:sz w:val="17"/>
              </w:rPr>
              <w:t>W03</w:t>
            </w:r>
          </w:p>
        </w:tc>
        <w:tc>
          <w:tcPr>
            <w:tcW w:w="1409" w:type="dxa"/>
            <w:vAlign w:val="center"/>
          </w:tcPr>
          <w:p w14:paraId="54C1C869">
            <w:pPr>
              <w:spacing w:before="0" w:after="0" w:line="240" w:lineRule="auto"/>
              <w:jc w:val="left"/>
            </w:pPr>
            <w:r>
              <w:rPr>
                <w:rFonts w:ascii="Times New Roman" w:hAnsi="Times New Roman" w:eastAsia="Times New Roman" w:cs="Times New Roman"/>
                <w:b w:val="0"/>
                <w:sz w:val="17"/>
              </w:rPr>
              <w:t>0.00047356</w:t>
            </w:r>
          </w:p>
        </w:tc>
        <w:tc>
          <w:tcPr>
            <w:tcW w:w="1409" w:type="dxa"/>
            <w:vAlign w:val="center"/>
          </w:tcPr>
          <w:p w14:paraId="482F5A58">
            <w:pPr>
              <w:spacing w:before="0" w:after="0" w:line="240" w:lineRule="auto"/>
              <w:jc w:val="center"/>
            </w:pPr>
            <w:r>
              <w:rPr>
                <w:rFonts w:ascii="Times New Roman" w:hAnsi="Times New Roman" w:eastAsia="Times New Roman" w:cs="Times New Roman"/>
                <w:b w:val="0"/>
                <w:sz w:val="17"/>
              </w:rPr>
              <w:t>0.00352736</w:t>
            </w:r>
          </w:p>
        </w:tc>
        <w:tc>
          <w:tcPr>
            <w:tcW w:w="1409" w:type="dxa"/>
            <w:vAlign w:val="center"/>
          </w:tcPr>
          <w:p w14:paraId="09436873">
            <w:pPr>
              <w:spacing w:before="0" w:after="0" w:line="240" w:lineRule="auto"/>
              <w:jc w:val="center"/>
            </w:pPr>
            <w:r>
              <w:rPr>
                <w:rFonts w:ascii="Times New Roman" w:hAnsi="Times New Roman" w:eastAsia="Times New Roman" w:cs="Times New Roman"/>
                <w:b w:val="0"/>
                <w:sz w:val="17"/>
              </w:rPr>
              <w:t>0.00019401</w:t>
            </w:r>
          </w:p>
        </w:tc>
        <w:tc>
          <w:tcPr>
            <w:tcW w:w="1409" w:type="dxa"/>
            <w:vAlign w:val="center"/>
          </w:tcPr>
          <w:p w14:paraId="591AD224">
            <w:pPr>
              <w:spacing w:before="0" w:after="0" w:line="240" w:lineRule="auto"/>
              <w:jc w:val="center"/>
            </w:pPr>
            <w:r>
              <w:rPr>
                <w:rFonts w:ascii="Times New Roman" w:hAnsi="Times New Roman" w:eastAsia="Times New Roman" w:cs="Times New Roman"/>
                <w:b w:val="0"/>
                <w:sz w:val="17"/>
              </w:rPr>
              <w:t>0.00178594</w:t>
            </w:r>
          </w:p>
        </w:tc>
        <w:tc>
          <w:tcPr>
            <w:tcW w:w="1409" w:type="dxa"/>
            <w:vAlign w:val="center"/>
          </w:tcPr>
          <w:p w14:paraId="74004DAE">
            <w:pPr>
              <w:spacing w:before="0" w:after="0" w:line="240" w:lineRule="auto"/>
              <w:jc w:val="center"/>
            </w:pPr>
            <w:r>
              <w:rPr>
                <w:rFonts w:ascii="Times New Roman" w:hAnsi="Times New Roman" w:eastAsia="Times New Roman" w:cs="Times New Roman"/>
                <w:b w:val="0"/>
                <w:sz w:val="17"/>
              </w:rPr>
              <w:t>+820.5%</w:t>
            </w:r>
          </w:p>
        </w:tc>
        <w:tc>
          <w:tcPr>
            <w:tcW w:w="1409" w:type="dxa"/>
            <w:vAlign w:val="center"/>
          </w:tcPr>
          <w:p w14:paraId="5B79D5C2">
            <w:pPr>
              <w:spacing w:before="0" w:after="0" w:line="240" w:lineRule="auto"/>
              <w:jc w:val="center"/>
            </w:pPr>
            <w:r>
              <w:rPr>
                <w:rFonts w:ascii="Times New Roman" w:hAnsi="Times New Roman" w:eastAsia="Times New Roman" w:cs="Times New Roman"/>
                <w:b w:val="0"/>
                <w:sz w:val="17"/>
              </w:rPr>
              <w:t>9.205</w:t>
            </w:r>
          </w:p>
        </w:tc>
      </w:tr>
      <w:tr w14:paraId="0B18288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409" w:type="dxa"/>
            <w:shd w:val="clear" w:color="auto" w:fill="F7F7F7"/>
            <w:vAlign w:val="center"/>
          </w:tcPr>
          <w:p w14:paraId="2EFA8CBA">
            <w:pPr>
              <w:spacing w:before="0" w:after="0" w:line="240" w:lineRule="auto"/>
              <w:jc w:val="left"/>
            </w:pPr>
            <w:r>
              <w:rPr>
                <w:rFonts w:ascii="Times New Roman" w:hAnsi="Times New Roman" w:eastAsia="Times New Roman" w:cs="Times New Roman"/>
                <w:b w:val="0"/>
                <w:sz w:val="17"/>
              </w:rPr>
              <w:t>W04</w:t>
            </w:r>
          </w:p>
        </w:tc>
        <w:tc>
          <w:tcPr>
            <w:tcW w:w="1409" w:type="dxa"/>
            <w:shd w:val="clear" w:color="auto" w:fill="F7F7F7"/>
            <w:vAlign w:val="center"/>
          </w:tcPr>
          <w:p w14:paraId="5F579C52">
            <w:pPr>
              <w:spacing w:before="0" w:after="0" w:line="240" w:lineRule="auto"/>
              <w:jc w:val="left"/>
            </w:pPr>
            <w:r>
              <w:rPr>
                <w:rFonts w:ascii="Times New Roman" w:hAnsi="Times New Roman" w:eastAsia="Times New Roman" w:cs="Times New Roman"/>
                <w:b w:val="0"/>
                <w:sz w:val="17"/>
              </w:rPr>
              <w:t>0.00047356</w:t>
            </w:r>
          </w:p>
        </w:tc>
        <w:tc>
          <w:tcPr>
            <w:tcW w:w="1409" w:type="dxa"/>
            <w:shd w:val="clear" w:color="auto" w:fill="F7F7F7"/>
            <w:vAlign w:val="center"/>
          </w:tcPr>
          <w:p w14:paraId="7A9A191B">
            <w:pPr>
              <w:spacing w:before="0" w:after="0" w:line="240" w:lineRule="auto"/>
              <w:jc w:val="center"/>
            </w:pPr>
            <w:r>
              <w:rPr>
                <w:rFonts w:ascii="Times New Roman" w:hAnsi="Times New Roman" w:eastAsia="Times New Roman" w:cs="Times New Roman"/>
                <w:b w:val="0"/>
                <w:sz w:val="17"/>
              </w:rPr>
              <w:t>0.00512335</w:t>
            </w:r>
          </w:p>
        </w:tc>
        <w:tc>
          <w:tcPr>
            <w:tcW w:w="1409" w:type="dxa"/>
            <w:shd w:val="clear" w:color="auto" w:fill="F7F7F7"/>
            <w:vAlign w:val="center"/>
          </w:tcPr>
          <w:p w14:paraId="5C0BBC74">
            <w:pPr>
              <w:spacing w:before="0" w:after="0" w:line="240" w:lineRule="auto"/>
              <w:jc w:val="center"/>
            </w:pPr>
            <w:r>
              <w:rPr>
                <w:rFonts w:ascii="Times New Roman" w:hAnsi="Times New Roman" w:eastAsia="Times New Roman" w:cs="Times New Roman"/>
                <w:b w:val="0"/>
                <w:sz w:val="17"/>
              </w:rPr>
              <w:t>0.00015402</w:t>
            </w:r>
          </w:p>
        </w:tc>
        <w:tc>
          <w:tcPr>
            <w:tcW w:w="1409" w:type="dxa"/>
            <w:shd w:val="clear" w:color="auto" w:fill="F7F7F7"/>
            <w:vAlign w:val="center"/>
          </w:tcPr>
          <w:p w14:paraId="7FE462E3">
            <w:pPr>
              <w:spacing w:before="0" w:after="0" w:line="240" w:lineRule="auto"/>
              <w:jc w:val="center"/>
            </w:pPr>
            <w:r>
              <w:rPr>
                <w:rFonts w:ascii="Times New Roman" w:hAnsi="Times New Roman" w:eastAsia="Times New Roman" w:cs="Times New Roman"/>
                <w:b w:val="0"/>
                <w:sz w:val="17"/>
              </w:rPr>
              <w:t>0.00146294</w:t>
            </w:r>
          </w:p>
        </w:tc>
        <w:tc>
          <w:tcPr>
            <w:tcW w:w="1409" w:type="dxa"/>
            <w:shd w:val="clear" w:color="auto" w:fill="F7F7F7"/>
            <w:vAlign w:val="center"/>
          </w:tcPr>
          <w:p w14:paraId="2DCE48A3">
            <w:pPr>
              <w:spacing w:before="0" w:after="0" w:line="240" w:lineRule="auto"/>
              <w:jc w:val="center"/>
            </w:pPr>
            <w:r>
              <w:rPr>
                <w:rFonts w:ascii="Times New Roman" w:hAnsi="Times New Roman" w:eastAsia="Times New Roman" w:cs="Times New Roman"/>
                <w:b w:val="0"/>
                <w:sz w:val="17"/>
              </w:rPr>
              <w:t>+849.8%</w:t>
            </w:r>
          </w:p>
        </w:tc>
        <w:tc>
          <w:tcPr>
            <w:tcW w:w="1409" w:type="dxa"/>
            <w:shd w:val="clear" w:color="auto" w:fill="F7F7F7"/>
            <w:vAlign w:val="center"/>
          </w:tcPr>
          <w:p w14:paraId="3DDC2C71">
            <w:pPr>
              <w:spacing w:before="0" w:after="0" w:line="240" w:lineRule="auto"/>
              <w:jc w:val="center"/>
            </w:pPr>
            <w:r>
              <w:rPr>
                <w:rFonts w:ascii="Times New Roman" w:hAnsi="Times New Roman" w:eastAsia="Times New Roman" w:cs="Times New Roman"/>
                <w:b w:val="0"/>
                <w:sz w:val="17"/>
              </w:rPr>
              <w:t>9.498</w:t>
            </w:r>
          </w:p>
        </w:tc>
      </w:tr>
      <w:tr w14:paraId="190EA3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409" w:type="dxa"/>
            <w:vAlign w:val="center"/>
          </w:tcPr>
          <w:p w14:paraId="6DC9DF9F">
            <w:pPr>
              <w:spacing w:before="0" w:after="0" w:line="240" w:lineRule="auto"/>
              <w:jc w:val="left"/>
            </w:pPr>
            <w:r>
              <w:rPr>
                <w:rFonts w:ascii="Times New Roman" w:hAnsi="Times New Roman" w:eastAsia="Times New Roman" w:cs="Times New Roman"/>
                <w:b w:val="0"/>
                <w:sz w:val="17"/>
              </w:rPr>
              <w:t>W05</w:t>
            </w:r>
          </w:p>
        </w:tc>
        <w:tc>
          <w:tcPr>
            <w:tcW w:w="1409" w:type="dxa"/>
            <w:vAlign w:val="center"/>
          </w:tcPr>
          <w:p w14:paraId="007E21C3">
            <w:pPr>
              <w:spacing w:before="0" w:after="0" w:line="240" w:lineRule="auto"/>
              <w:jc w:val="left"/>
            </w:pPr>
            <w:r>
              <w:rPr>
                <w:rFonts w:ascii="Times New Roman" w:hAnsi="Times New Roman" w:eastAsia="Times New Roman" w:cs="Times New Roman"/>
                <w:b w:val="0"/>
                <w:sz w:val="17"/>
              </w:rPr>
              <w:t>0.00284133</w:t>
            </w:r>
          </w:p>
        </w:tc>
        <w:tc>
          <w:tcPr>
            <w:tcW w:w="1409" w:type="dxa"/>
            <w:vAlign w:val="center"/>
          </w:tcPr>
          <w:p w14:paraId="0C5BC7A2">
            <w:pPr>
              <w:spacing w:before="0" w:after="0" w:line="240" w:lineRule="auto"/>
              <w:jc w:val="center"/>
            </w:pPr>
            <w:r>
              <w:rPr>
                <w:rFonts w:ascii="Times New Roman" w:hAnsi="Times New Roman" w:eastAsia="Times New Roman" w:cs="Times New Roman"/>
                <w:b w:val="0"/>
                <w:sz w:val="17"/>
              </w:rPr>
              <w:t>0.00427440</w:t>
            </w:r>
          </w:p>
        </w:tc>
        <w:tc>
          <w:tcPr>
            <w:tcW w:w="1409" w:type="dxa"/>
            <w:vAlign w:val="center"/>
          </w:tcPr>
          <w:p w14:paraId="7A872369">
            <w:pPr>
              <w:spacing w:before="0" w:after="0" w:line="240" w:lineRule="auto"/>
              <w:jc w:val="center"/>
            </w:pPr>
            <w:r>
              <w:rPr>
                <w:rFonts w:ascii="Times New Roman" w:hAnsi="Times New Roman" w:eastAsia="Times New Roman" w:cs="Times New Roman"/>
                <w:b w:val="0"/>
                <w:sz w:val="17"/>
              </w:rPr>
              <w:t>0.00122208</w:t>
            </w:r>
          </w:p>
        </w:tc>
        <w:tc>
          <w:tcPr>
            <w:tcW w:w="1409" w:type="dxa"/>
            <w:vAlign w:val="center"/>
          </w:tcPr>
          <w:p w14:paraId="13F51D64">
            <w:pPr>
              <w:spacing w:before="0" w:after="0" w:line="240" w:lineRule="auto"/>
              <w:jc w:val="center"/>
            </w:pPr>
            <w:r>
              <w:rPr>
                <w:rFonts w:ascii="Times New Roman" w:hAnsi="Times New Roman" w:eastAsia="Times New Roman" w:cs="Times New Roman"/>
                <w:b w:val="0"/>
                <w:sz w:val="17"/>
              </w:rPr>
              <w:t>0.00129720</w:t>
            </w:r>
          </w:p>
        </w:tc>
        <w:tc>
          <w:tcPr>
            <w:tcW w:w="1409" w:type="dxa"/>
            <w:vAlign w:val="center"/>
          </w:tcPr>
          <w:p w14:paraId="10308E42">
            <w:pPr>
              <w:spacing w:before="0" w:after="0" w:line="240" w:lineRule="auto"/>
              <w:jc w:val="center"/>
            </w:pPr>
            <w:r>
              <w:rPr>
                <w:rFonts w:ascii="Times New Roman" w:hAnsi="Times New Roman" w:eastAsia="Times New Roman" w:cs="Times New Roman"/>
                <w:b w:val="0"/>
                <w:sz w:val="17"/>
              </w:rPr>
              <w:t>+6.1%</w:t>
            </w:r>
          </w:p>
        </w:tc>
        <w:tc>
          <w:tcPr>
            <w:tcW w:w="1409" w:type="dxa"/>
            <w:vAlign w:val="center"/>
          </w:tcPr>
          <w:p w14:paraId="521D6E1C">
            <w:pPr>
              <w:spacing w:before="0" w:after="0" w:line="240" w:lineRule="auto"/>
              <w:jc w:val="center"/>
            </w:pPr>
            <w:r>
              <w:rPr>
                <w:rFonts w:ascii="Times New Roman" w:hAnsi="Times New Roman" w:eastAsia="Times New Roman" w:cs="Times New Roman"/>
                <w:b w:val="0"/>
                <w:sz w:val="17"/>
              </w:rPr>
              <w:t>1.061</w:t>
            </w:r>
          </w:p>
        </w:tc>
      </w:tr>
      <w:tr w14:paraId="3F8EE77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409" w:type="dxa"/>
            <w:shd w:val="clear" w:color="auto" w:fill="F7F7F7"/>
            <w:vAlign w:val="center"/>
          </w:tcPr>
          <w:p w14:paraId="7F357233">
            <w:pPr>
              <w:spacing w:before="0" w:after="0" w:line="240" w:lineRule="auto"/>
              <w:jc w:val="left"/>
            </w:pPr>
            <w:r>
              <w:rPr>
                <w:rFonts w:ascii="Times New Roman" w:hAnsi="Times New Roman" w:eastAsia="Times New Roman" w:cs="Times New Roman"/>
                <w:b w:val="0"/>
                <w:sz w:val="17"/>
              </w:rPr>
              <w:t>W06</w:t>
            </w:r>
          </w:p>
        </w:tc>
        <w:tc>
          <w:tcPr>
            <w:tcW w:w="1409" w:type="dxa"/>
            <w:shd w:val="clear" w:color="auto" w:fill="F7F7F7"/>
            <w:vAlign w:val="center"/>
          </w:tcPr>
          <w:p w14:paraId="25CFDDA8">
            <w:pPr>
              <w:spacing w:before="0" w:after="0" w:line="240" w:lineRule="auto"/>
              <w:jc w:val="left"/>
            </w:pPr>
            <w:r>
              <w:rPr>
                <w:rFonts w:ascii="Times New Roman" w:hAnsi="Times New Roman" w:eastAsia="Times New Roman" w:cs="Times New Roman"/>
                <w:b w:val="0"/>
                <w:sz w:val="17"/>
              </w:rPr>
              <w:t>0.00236778</w:t>
            </w:r>
          </w:p>
        </w:tc>
        <w:tc>
          <w:tcPr>
            <w:tcW w:w="1409" w:type="dxa"/>
            <w:shd w:val="clear" w:color="auto" w:fill="F7F7F7"/>
            <w:vAlign w:val="center"/>
          </w:tcPr>
          <w:p w14:paraId="4F463A5D">
            <w:pPr>
              <w:spacing w:before="0" w:after="0" w:line="240" w:lineRule="auto"/>
              <w:jc w:val="center"/>
            </w:pPr>
            <w:r>
              <w:rPr>
                <w:rFonts w:ascii="Times New Roman" w:hAnsi="Times New Roman" w:eastAsia="Times New Roman" w:cs="Times New Roman"/>
                <w:b w:val="0"/>
                <w:sz w:val="17"/>
              </w:rPr>
              <w:t>0.01199757</w:t>
            </w:r>
          </w:p>
        </w:tc>
        <w:tc>
          <w:tcPr>
            <w:tcW w:w="1409" w:type="dxa"/>
            <w:shd w:val="clear" w:color="auto" w:fill="F7F7F7"/>
            <w:vAlign w:val="center"/>
          </w:tcPr>
          <w:p w14:paraId="60B4C2BD">
            <w:pPr>
              <w:spacing w:before="0" w:after="0" w:line="240" w:lineRule="auto"/>
              <w:jc w:val="center"/>
            </w:pPr>
            <w:r>
              <w:rPr>
                <w:rFonts w:ascii="Times New Roman" w:hAnsi="Times New Roman" w:eastAsia="Times New Roman" w:cs="Times New Roman"/>
                <w:b w:val="0"/>
                <w:sz w:val="17"/>
              </w:rPr>
              <w:t>0.00046144</w:t>
            </w:r>
          </w:p>
        </w:tc>
        <w:tc>
          <w:tcPr>
            <w:tcW w:w="1409" w:type="dxa"/>
            <w:shd w:val="clear" w:color="auto" w:fill="F7F7F7"/>
            <w:vAlign w:val="center"/>
          </w:tcPr>
          <w:p w14:paraId="002656F9">
            <w:pPr>
              <w:spacing w:before="0" w:after="0" w:line="240" w:lineRule="auto"/>
              <w:jc w:val="center"/>
            </w:pPr>
            <w:r>
              <w:rPr>
                <w:rFonts w:ascii="Times New Roman" w:hAnsi="Times New Roman" w:eastAsia="Times New Roman" w:cs="Times New Roman"/>
                <w:b w:val="0"/>
                <w:sz w:val="17"/>
              </w:rPr>
              <w:t>0.00169234</w:t>
            </w:r>
          </w:p>
        </w:tc>
        <w:tc>
          <w:tcPr>
            <w:tcW w:w="1409" w:type="dxa"/>
            <w:shd w:val="clear" w:color="auto" w:fill="F7F7F7"/>
            <w:vAlign w:val="center"/>
          </w:tcPr>
          <w:p w14:paraId="3C553BED">
            <w:pPr>
              <w:spacing w:before="0" w:after="0" w:line="240" w:lineRule="auto"/>
              <w:jc w:val="center"/>
            </w:pPr>
            <w:r>
              <w:rPr>
                <w:rFonts w:ascii="Times New Roman" w:hAnsi="Times New Roman" w:eastAsia="Times New Roman" w:cs="Times New Roman"/>
                <w:b w:val="0"/>
                <w:sz w:val="17"/>
              </w:rPr>
              <w:t>+266.8%</w:t>
            </w:r>
          </w:p>
        </w:tc>
        <w:tc>
          <w:tcPr>
            <w:tcW w:w="1409" w:type="dxa"/>
            <w:shd w:val="clear" w:color="auto" w:fill="F7F7F7"/>
            <w:vAlign w:val="center"/>
          </w:tcPr>
          <w:p w14:paraId="0A982B63">
            <w:pPr>
              <w:spacing w:before="0" w:after="0" w:line="240" w:lineRule="auto"/>
              <w:jc w:val="center"/>
            </w:pPr>
            <w:r>
              <w:rPr>
                <w:rFonts w:ascii="Times New Roman" w:hAnsi="Times New Roman" w:eastAsia="Times New Roman" w:cs="Times New Roman"/>
                <w:b w:val="0"/>
                <w:sz w:val="17"/>
              </w:rPr>
              <w:t>3.668</w:t>
            </w:r>
          </w:p>
        </w:tc>
      </w:tr>
    </w:tbl>
    <w:p w14:paraId="71F639B8">
      <w:pPr>
        <w:spacing w:before="40" w:after="120"/>
      </w:pPr>
      <w:r>
        <w:rPr>
          <w:rFonts w:ascii="Times New Roman" w:hAnsi="Times New Roman" w:eastAsia="Times New Roman" w:cs="Times New Roman"/>
          <w:i/>
          <w:sz w:val="18"/>
        </w:rPr>
        <w:t>Note: Costs use the regional AWS list-price methodology described in Section 3.9; Free Tier, credits, and discounts are excluded.</w:t>
      </w:r>
    </w:p>
    <w:p w14:paraId="3FBA3866">
      <w:pPr>
        <w:spacing w:before="80" w:after="40"/>
        <w:jc w:val="center"/>
      </w:pPr>
      <w:r>
        <w:rPr>
          <w:rFonts w:ascii="Times New Roman" w:hAnsi="Times New Roman" w:eastAsia="Times New Roman" w:cs="Times New Roman"/>
        </w:rPr>
        <w:drawing>
          <wp:inline distT="0" distB="0" distL="114300" distR="114300">
            <wp:extent cx="5532120" cy="3098165"/>
            <wp:effectExtent l="0" t="0" r="1143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32120" cy="3098188"/>
                    </a:xfrm>
                    <a:prstGeom prst="rect">
                      <a:avLst/>
                    </a:prstGeom>
                  </pic:spPr>
                </pic:pic>
              </a:graphicData>
            </a:graphic>
          </wp:inline>
        </w:drawing>
      </w:r>
    </w:p>
    <w:p w14:paraId="56DA81A1">
      <w:pPr>
        <w:spacing w:after="120"/>
        <w:jc w:val="center"/>
      </w:pPr>
      <w:r>
        <w:rPr>
          <w:rFonts w:ascii="Times New Roman" w:hAnsi="Times New Roman" w:eastAsia="Times New Roman" w:cs="Times New Roman"/>
          <w:i/>
          <w:sz w:val="18"/>
        </w:rPr>
        <w:t>Figure 6. Estimated cost per 1,000 successful requests.</w:t>
      </w:r>
    </w:p>
    <w:p w14:paraId="6556222C">
      <w:pPr>
        <w:spacing w:after="80" w:line="252" w:lineRule="auto"/>
        <w:ind w:firstLine="238"/>
        <w:jc w:val="both"/>
      </w:pPr>
      <w:r>
        <w:rPr>
          <w:rFonts w:ascii="Times New Roman" w:hAnsi="Times New Roman" w:eastAsia="Times New Roman" w:cs="Times New Roman"/>
          <w:sz w:val="20"/>
        </w:rPr>
        <w:t>Across the six workloads, the tested EC2 configuration usually had the lower estimated cost per 1,000 successful requests. In the short, actively loaded tests, the continuously provisioned t3.small spread its allocation cost over a relatively large number of completed requests. The serverless path, by comparison, accumulated both Lambda request/duration charges and API Gateway request charges. W05 changed that balance because EC2 was charged through the 300-second idle period. Once that idle capacity was included, Serverless became much more cost-competitive, although its reliability result still differed from EC2.</w:t>
      </w:r>
    </w:p>
    <w:p w14:paraId="6BD2EC8A">
      <w:pPr>
        <w:keepNext/>
        <w:spacing w:before="80" w:after="60"/>
        <w:jc w:val="center"/>
      </w:pPr>
      <w:r>
        <w:rPr>
          <w:rFonts w:ascii="Times New Roman" w:hAnsi="Times New Roman" w:eastAsia="Times New Roman" w:cs="Times New Roman"/>
          <w:b/>
          <w:sz w:val="20"/>
        </w:rPr>
        <w:t>Table 6. Three-Trial Summary and Variability</w:t>
      </w:r>
    </w:p>
    <w:tbl>
      <w:tblPr>
        <w:tblStyle w:val="35"/>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987"/>
        <w:gridCol w:w="987"/>
        <w:gridCol w:w="987"/>
        <w:gridCol w:w="987"/>
        <w:gridCol w:w="1126"/>
        <w:gridCol w:w="987"/>
        <w:gridCol w:w="987"/>
        <w:gridCol w:w="987"/>
        <w:gridCol w:w="987"/>
        <w:gridCol w:w="987"/>
      </w:tblGrid>
      <w:tr w14:paraId="0568F2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987" w:type="dxa"/>
            <w:shd w:val="clear" w:color="auto" w:fill="E7E6E6"/>
            <w:vAlign w:val="center"/>
          </w:tcPr>
          <w:p w14:paraId="1D61DA92">
            <w:pPr>
              <w:spacing w:before="0" w:after="0" w:line="240" w:lineRule="auto"/>
              <w:jc w:val="left"/>
            </w:pPr>
            <w:r>
              <w:rPr>
                <w:rFonts w:ascii="Times New Roman" w:hAnsi="Times New Roman" w:eastAsia="Times New Roman" w:cs="Times New Roman"/>
                <w:b/>
                <w:sz w:val="14"/>
              </w:rPr>
              <w:t>Workload</w:t>
            </w:r>
          </w:p>
        </w:tc>
        <w:tc>
          <w:tcPr>
            <w:tcW w:w="987" w:type="dxa"/>
            <w:shd w:val="clear" w:color="auto" w:fill="E7E6E6"/>
            <w:vAlign w:val="center"/>
          </w:tcPr>
          <w:p w14:paraId="640357E5">
            <w:pPr>
              <w:spacing w:before="0" w:after="0" w:line="240" w:lineRule="auto"/>
              <w:jc w:val="left"/>
            </w:pPr>
            <w:r>
              <w:rPr>
                <w:rFonts w:ascii="Times New Roman" w:hAnsi="Times New Roman" w:eastAsia="Times New Roman" w:cs="Times New Roman"/>
                <w:b/>
                <w:sz w:val="14"/>
              </w:rPr>
              <w:t>Architecture</w:t>
            </w:r>
          </w:p>
        </w:tc>
        <w:tc>
          <w:tcPr>
            <w:tcW w:w="987" w:type="dxa"/>
            <w:shd w:val="clear" w:color="auto" w:fill="E7E6E6"/>
            <w:vAlign w:val="center"/>
          </w:tcPr>
          <w:p w14:paraId="03294DEB">
            <w:pPr>
              <w:spacing w:before="0" w:after="0" w:line="240" w:lineRule="auto"/>
              <w:jc w:val="center"/>
            </w:pPr>
            <w:r>
              <w:rPr>
                <w:rFonts w:ascii="Times New Roman" w:hAnsi="Times New Roman" w:eastAsia="Times New Roman" w:cs="Times New Roman"/>
                <w:b/>
                <w:sz w:val="14"/>
              </w:rPr>
              <w:t>n</w:t>
            </w:r>
          </w:p>
        </w:tc>
        <w:tc>
          <w:tcPr>
            <w:tcW w:w="987" w:type="dxa"/>
            <w:shd w:val="clear" w:color="auto" w:fill="E7E6E6"/>
            <w:vAlign w:val="center"/>
          </w:tcPr>
          <w:p w14:paraId="772A566B">
            <w:pPr>
              <w:spacing w:before="0" w:after="0" w:line="240" w:lineRule="auto"/>
              <w:jc w:val="center"/>
            </w:pPr>
            <w:r>
              <w:rPr>
                <w:rFonts w:ascii="Times New Roman" w:hAnsi="Times New Roman" w:eastAsia="Times New Roman" w:cs="Times New Roman"/>
                <w:b/>
                <w:sz w:val="14"/>
              </w:rPr>
              <w:t>Latency mean ± SD (ms)</w:t>
            </w:r>
          </w:p>
        </w:tc>
        <w:tc>
          <w:tcPr>
            <w:tcW w:w="987" w:type="dxa"/>
            <w:shd w:val="clear" w:color="auto" w:fill="E7E6E6"/>
            <w:vAlign w:val="center"/>
          </w:tcPr>
          <w:p w14:paraId="756C2A41">
            <w:pPr>
              <w:spacing w:before="0" w:after="0" w:line="240" w:lineRule="auto"/>
              <w:jc w:val="center"/>
            </w:pPr>
            <w:r>
              <w:rPr>
                <w:rFonts w:ascii="Times New Roman" w:hAnsi="Times New Roman" w:eastAsia="Times New Roman" w:cs="Times New Roman"/>
                <w:b/>
                <w:sz w:val="14"/>
              </w:rPr>
              <w:t>Latency min-max (ms)</w:t>
            </w:r>
          </w:p>
        </w:tc>
        <w:tc>
          <w:tcPr>
            <w:tcW w:w="987" w:type="dxa"/>
            <w:shd w:val="clear" w:color="auto" w:fill="E7E6E6"/>
            <w:vAlign w:val="center"/>
          </w:tcPr>
          <w:p w14:paraId="79D97D86">
            <w:pPr>
              <w:spacing w:before="0" w:after="0" w:line="240" w:lineRule="auto"/>
              <w:jc w:val="center"/>
            </w:pPr>
            <w:r>
              <w:rPr>
                <w:rFonts w:ascii="Times New Roman" w:hAnsi="Times New Roman" w:eastAsia="Times New Roman" w:cs="Times New Roman"/>
                <w:b/>
                <w:sz w:val="14"/>
              </w:rPr>
              <w:t>P95 mean ± SD (ms)</w:t>
            </w:r>
          </w:p>
        </w:tc>
        <w:tc>
          <w:tcPr>
            <w:tcW w:w="987" w:type="dxa"/>
            <w:shd w:val="clear" w:color="auto" w:fill="E7E6E6"/>
            <w:vAlign w:val="center"/>
          </w:tcPr>
          <w:p w14:paraId="603DFF6E">
            <w:pPr>
              <w:spacing w:before="0" w:after="0" w:line="240" w:lineRule="auto"/>
              <w:jc w:val="center"/>
            </w:pPr>
            <w:r>
              <w:rPr>
                <w:rFonts w:ascii="Times New Roman" w:hAnsi="Times New Roman" w:eastAsia="Times New Roman" w:cs="Times New Roman"/>
                <w:b/>
                <w:sz w:val="14"/>
              </w:rPr>
              <w:t>Throughput mean ± SD (req/s)</w:t>
            </w:r>
          </w:p>
        </w:tc>
        <w:tc>
          <w:tcPr>
            <w:tcW w:w="987" w:type="dxa"/>
            <w:shd w:val="clear" w:color="auto" w:fill="E7E6E6"/>
            <w:vAlign w:val="center"/>
          </w:tcPr>
          <w:p w14:paraId="217625F1">
            <w:pPr>
              <w:spacing w:before="0" w:after="0" w:line="240" w:lineRule="auto"/>
              <w:jc w:val="center"/>
            </w:pPr>
            <w:r>
              <w:rPr>
                <w:rFonts w:ascii="Times New Roman" w:hAnsi="Times New Roman" w:eastAsia="Times New Roman" w:cs="Times New Roman"/>
                <w:b/>
                <w:sz w:val="14"/>
              </w:rPr>
              <w:t>Throughput min-max (req/s)</w:t>
            </w:r>
          </w:p>
        </w:tc>
        <w:tc>
          <w:tcPr>
            <w:tcW w:w="987" w:type="dxa"/>
            <w:shd w:val="clear" w:color="auto" w:fill="E7E6E6"/>
            <w:vAlign w:val="center"/>
          </w:tcPr>
          <w:p w14:paraId="06854F3E">
            <w:pPr>
              <w:spacing w:before="0" w:after="0" w:line="240" w:lineRule="auto"/>
              <w:jc w:val="center"/>
            </w:pPr>
            <w:r>
              <w:rPr>
                <w:rFonts w:ascii="Times New Roman" w:hAnsi="Times New Roman" w:eastAsia="Times New Roman" w:cs="Times New Roman"/>
                <w:b/>
                <w:sz w:val="14"/>
              </w:rPr>
              <w:t>Failure rate mean ± SD (%)</w:t>
            </w:r>
          </w:p>
        </w:tc>
        <w:tc>
          <w:tcPr>
            <w:tcW w:w="987" w:type="dxa"/>
            <w:shd w:val="clear" w:color="auto" w:fill="E7E6E6"/>
            <w:vAlign w:val="center"/>
          </w:tcPr>
          <w:p w14:paraId="079F82A4">
            <w:pPr>
              <w:spacing w:before="0" w:after="0" w:line="240" w:lineRule="auto"/>
              <w:jc w:val="center"/>
            </w:pPr>
            <w:r>
              <w:rPr>
                <w:rFonts w:ascii="Times New Roman" w:hAnsi="Times New Roman" w:eastAsia="Times New Roman" w:cs="Times New Roman"/>
                <w:b/>
                <w:sz w:val="14"/>
              </w:rPr>
              <w:t>Cost/1K mean ± SD (USD)</w:t>
            </w:r>
          </w:p>
        </w:tc>
      </w:tr>
      <w:tr w14:paraId="1190982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vAlign w:val="center"/>
          </w:tcPr>
          <w:p w14:paraId="13971A52">
            <w:pPr>
              <w:spacing w:before="0" w:after="0" w:line="240" w:lineRule="auto"/>
              <w:jc w:val="left"/>
            </w:pPr>
            <w:r>
              <w:rPr>
                <w:rFonts w:ascii="Times New Roman" w:hAnsi="Times New Roman" w:eastAsia="Times New Roman" w:cs="Times New Roman"/>
                <w:b w:val="0"/>
                <w:sz w:val="14"/>
              </w:rPr>
              <w:t>W01</w:t>
            </w:r>
          </w:p>
        </w:tc>
        <w:tc>
          <w:tcPr>
            <w:tcW w:w="987" w:type="dxa"/>
            <w:vAlign w:val="center"/>
          </w:tcPr>
          <w:p w14:paraId="58F5BB85">
            <w:pPr>
              <w:spacing w:before="0" w:after="0" w:line="240" w:lineRule="auto"/>
              <w:jc w:val="left"/>
            </w:pPr>
            <w:r>
              <w:rPr>
                <w:rFonts w:ascii="Times New Roman" w:hAnsi="Times New Roman" w:eastAsia="Times New Roman" w:cs="Times New Roman"/>
                <w:b w:val="0"/>
                <w:sz w:val="14"/>
              </w:rPr>
              <w:t>EC2</w:t>
            </w:r>
          </w:p>
        </w:tc>
        <w:tc>
          <w:tcPr>
            <w:tcW w:w="987" w:type="dxa"/>
            <w:vAlign w:val="center"/>
          </w:tcPr>
          <w:p w14:paraId="296B85DF">
            <w:pPr>
              <w:spacing w:before="0" w:after="0" w:line="240" w:lineRule="auto"/>
              <w:jc w:val="center"/>
            </w:pPr>
            <w:r>
              <w:rPr>
                <w:rFonts w:ascii="Times New Roman" w:hAnsi="Times New Roman" w:eastAsia="Times New Roman" w:cs="Times New Roman"/>
                <w:b w:val="0"/>
                <w:sz w:val="14"/>
              </w:rPr>
              <w:t>3</w:t>
            </w:r>
          </w:p>
        </w:tc>
        <w:tc>
          <w:tcPr>
            <w:tcW w:w="987" w:type="dxa"/>
            <w:vAlign w:val="center"/>
          </w:tcPr>
          <w:p w14:paraId="320D0C97">
            <w:pPr>
              <w:spacing w:before="0" w:after="0" w:line="240" w:lineRule="auto"/>
              <w:jc w:val="center"/>
            </w:pPr>
            <w:r>
              <w:rPr>
                <w:rFonts w:ascii="Times New Roman" w:hAnsi="Times New Roman" w:eastAsia="Times New Roman" w:cs="Times New Roman"/>
                <w:b w:val="0"/>
                <w:sz w:val="14"/>
              </w:rPr>
              <w:t>123.19 ± 2.99</w:t>
            </w:r>
          </w:p>
        </w:tc>
        <w:tc>
          <w:tcPr>
            <w:tcW w:w="987" w:type="dxa"/>
            <w:vAlign w:val="center"/>
          </w:tcPr>
          <w:p w14:paraId="4E69A3F7">
            <w:pPr>
              <w:spacing w:before="0" w:after="0" w:line="240" w:lineRule="auto"/>
              <w:jc w:val="center"/>
            </w:pPr>
            <w:r>
              <w:rPr>
                <w:rFonts w:ascii="Times New Roman" w:hAnsi="Times New Roman" w:eastAsia="Times New Roman" w:cs="Times New Roman"/>
                <w:b w:val="0"/>
                <w:sz w:val="14"/>
              </w:rPr>
              <w:t>119.79–125.37</w:t>
            </w:r>
          </w:p>
        </w:tc>
        <w:tc>
          <w:tcPr>
            <w:tcW w:w="987" w:type="dxa"/>
            <w:vAlign w:val="center"/>
          </w:tcPr>
          <w:p w14:paraId="002FF03A">
            <w:pPr>
              <w:spacing w:before="0" w:after="0" w:line="240" w:lineRule="auto"/>
              <w:jc w:val="center"/>
            </w:pPr>
            <w:r>
              <w:rPr>
                <w:rFonts w:ascii="Times New Roman" w:hAnsi="Times New Roman" w:eastAsia="Times New Roman" w:cs="Times New Roman"/>
                <w:b w:val="0"/>
                <w:sz w:val="14"/>
              </w:rPr>
              <w:t>196.67 ± 25.17</w:t>
            </w:r>
          </w:p>
        </w:tc>
        <w:tc>
          <w:tcPr>
            <w:tcW w:w="987" w:type="dxa"/>
            <w:vAlign w:val="center"/>
          </w:tcPr>
          <w:p w14:paraId="5F1947BF">
            <w:pPr>
              <w:spacing w:before="0" w:after="0" w:line="240" w:lineRule="auto"/>
              <w:jc w:val="center"/>
            </w:pPr>
            <w:r>
              <w:rPr>
                <w:rFonts w:ascii="Times New Roman" w:hAnsi="Times New Roman" w:eastAsia="Times New Roman" w:cs="Times New Roman"/>
                <w:b w:val="0"/>
                <w:sz w:val="14"/>
              </w:rPr>
              <w:t>10.10 ± 0.06</w:t>
            </w:r>
          </w:p>
        </w:tc>
        <w:tc>
          <w:tcPr>
            <w:tcW w:w="987" w:type="dxa"/>
            <w:vAlign w:val="center"/>
          </w:tcPr>
          <w:p w14:paraId="64A6E78F">
            <w:pPr>
              <w:spacing w:before="0" w:after="0" w:line="240" w:lineRule="auto"/>
              <w:jc w:val="center"/>
            </w:pPr>
            <w:r>
              <w:rPr>
                <w:rFonts w:ascii="Times New Roman" w:hAnsi="Times New Roman" w:eastAsia="Times New Roman" w:cs="Times New Roman"/>
                <w:b w:val="0"/>
                <w:sz w:val="14"/>
              </w:rPr>
              <w:t>10.06–10.17</w:t>
            </w:r>
          </w:p>
        </w:tc>
        <w:tc>
          <w:tcPr>
            <w:tcW w:w="987" w:type="dxa"/>
            <w:vAlign w:val="center"/>
          </w:tcPr>
          <w:p w14:paraId="31520A3D">
            <w:pPr>
              <w:spacing w:before="0" w:after="0" w:line="240" w:lineRule="auto"/>
              <w:jc w:val="center"/>
            </w:pPr>
            <w:r>
              <w:rPr>
                <w:rFonts w:ascii="Times New Roman" w:hAnsi="Times New Roman" w:eastAsia="Times New Roman" w:cs="Times New Roman"/>
                <w:b w:val="0"/>
                <w:sz w:val="14"/>
              </w:rPr>
              <w:t>0.000 ± 0.000</w:t>
            </w:r>
          </w:p>
        </w:tc>
        <w:tc>
          <w:tcPr>
            <w:tcW w:w="987" w:type="dxa"/>
            <w:vAlign w:val="center"/>
          </w:tcPr>
          <w:p w14:paraId="70356B2F">
            <w:pPr>
              <w:spacing w:before="0" w:after="0" w:line="240" w:lineRule="auto"/>
              <w:jc w:val="center"/>
            </w:pPr>
            <w:r>
              <w:rPr>
                <w:rFonts w:ascii="Times New Roman" w:hAnsi="Times New Roman" w:eastAsia="Times New Roman" w:cs="Times New Roman"/>
                <w:b w:val="0"/>
                <w:sz w:val="14"/>
              </w:rPr>
              <w:t>0.00080447 ± 0.00000393</w:t>
            </w:r>
          </w:p>
        </w:tc>
      </w:tr>
      <w:tr w14:paraId="5E9AA15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shd w:val="clear" w:color="auto" w:fill="F7F7F7"/>
            <w:vAlign w:val="center"/>
          </w:tcPr>
          <w:p w14:paraId="1E04B01B">
            <w:pPr>
              <w:spacing w:before="0" w:after="0" w:line="240" w:lineRule="auto"/>
              <w:jc w:val="left"/>
            </w:pPr>
            <w:r>
              <w:rPr>
                <w:rFonts w:ascii="Times New Roman" w:hAnsi="Times New Roman" w:eastAsia="Times New Roman" w:cs="Times New Roman"/>
                <w:b w:val="0"/>
                <w:sz w:val="14"/>
              </w:rPr>
              <w:t>W01</w:t>
            </w:r>
          </w:p>
        </w:tc>
        <w:tc>
          <w:tcPr>
            <w:tcW w:w="987" w:type="dxa"/>
            <w:shd w:val="clear" w:color="auto" w:fill="F7F7F7"/>
            <w:vAlign w:val="center"/>
          </w:tcPr>
          <w:p w14:paraId="3D262B06">
            <w:pPr>
              <w:spacing w:before="0" w:after="0" w:line="240" w:lineRule="auto"/>
              <w:jc w:val="left"/>
            </w:pPr>
            <w:r>
              <w:rPr>
                <w:rFonts w:ascii="Times New Roman" w:hAnsi="Times New Roman" w:eastAsia="Times New Roman" w:cs="Times New Roman"/>
                <w:b w:val="0"/>
                <w:sz w:val="14"/>
              </w:rPr>
              <w:t>Serverless</w:t>
            </w:r>
          </w:p>
        </w:tc>
        <w:tc>
          <w:tcPr>
            <w:tcW w:w="987" w:type="dxa"/>
            <w:shd w:val="clear" w:color="auto" w:fill="F7F7F7"/>
            <w:vAlign w:val="center"/>
          </w:tcPr>
          <w:p w14:paraId="54A31630">
            <w:pPr>
              <w:spacing w:before="0" w:after="0" w:line="240" w:lineRule="auto"/>
              <w:jc w:val="center"/>
            </w:pPr>
            <w:r>
              <w:rPr>
                <w:rFonts w:ascii="Times New Roman" w:hAnsi="Times New Roman" w:eastAsia="Times New Roman" w:cs="Times New Roman"/>
                <w:b w:val="0"/>
                <w:sz w:val="14"/>
              </w:rPr>
              <w:t>3</w:t>
            </w:r>
          </w:p>
        </w:tc>
        <w:tc>
          <w:tcPr>
            <w:tcW w:w="987" w:type="dxa"/>
            <w:shd w:val="clear" w:color="auto" w:fill="F7F7F7"/>
            <w:vAlign w:val="center"/>
          </w:tcPr>
          <w:p w14:paraId="6BF18F41">
            <w:pPr>
              <w:spacing w:before="0" w:after="0" w:line="240" w:lineRule="auto"/>
              <w:jc w:val="center"/>
            </w:pPr>
            <w:r>
              <w:rPr>
                <w:rFonts w:ascii="Times New Roman" w:hAnsi="Times New Roman" w:eastAsia="Times New Roman" w:cs="Times New Roman"/>
                <w:b w:val="0"/>
                <w:sz w:val="14"/>
              </w:rPr>
              <w:t>126.04 ± 3.18</w:t>
            </w:r>
          </w:p>
        </w:tc>
        <w:tc>
          <w:tcPr>
            <w:tcW w:w="987" w:type="dxa"/>
            <w:shd w:val="clear" w:color="auto" w:fill="F7F7F7"/>
            <w:vAlign w:val="center"/>
          </w:tcPr>
          <w:p w14:paraId="51DFB1DE">
            <w:pPr>
              <w:spacing w:before="0" w:after="0" w:line="240" w:lineRule="auto"/>
              <w:jc w:val="center"/>
            </w:pPr>
            <w:r>
              <w:rPr>
                <w:rFonts w:ascii="Times New Roman" w:hAnsi="Times New Roman" w:eastAsia="Times New Roman" w:cs="Times New Roman"/>
                <w:b w:val="0"/>
                <w:sz w:val="14"/>
              </w:rPr>
              <w:t>123.73–129.67</w:t>
            </w:r>
          </w:p>
        </w:tc>
        <w:tc>
          <w:tcPr>
            <w:tcW w:w="987" w:type="dxa"/>
            <w:shd w:val="clear" w:color="auto" w:fill="F7F7F7"/>
            <w:vAlign w:val="center"/>
          </w:tcPr>
          <w:p w14:paraId="0FAE300C">
            <w:pPr>
              <w:spacing w:before="0" w:after="0" w:line="240" w:lineRule="auto"/>
              <w:jc w:val="center"/>
            </w:pPr>
            <w:r>
              <w:rPr>
                <w:rFonts w:ascii="Times New Roman" w:hAnsi="Times New Roman" w:eastAsia="Times New Roman" w:cs="Times New Roman"/>
                <w:b w:val="0"/>
                <w:sz w:val="14"/>
              </w:rPr>
              <w:t>163.33 ± 25.17</w:t>
            </w:r>
          </w:p>
        </w:tc>
        <w:tc>
          <w:tcPr>
            <w:tcW w:w="987" w:type="dxa"/>
            <w:shd w:val="clear" w:color="auto" w:fill="F7F7F7"/>
            <w:vAlign w:val="center"/>
          </w:tcPr>
          <w:p w14:paraId="44112175">
            <w:pPr>
              <w:spacing w:before="0" w:after="0" w:line="240" w:lineRule="auto"/>
              <w:jc w:val="center"/>
            </w:pPr>
            <w:r>
              <w:rPr>
                <w:rFonts w:ascii="Times New Roman" w:hAnsi="Times New Roman" w:eastAsia="Times New Roman" w:cs="Times New Roman"/>
                <w:b w:val="0"/>
                <w:sz w:val="14"/>
              </w:rPr>
              <w:t>10.05 ± 0.05</w:t>
            </w:r>
          </w:p>
        </w:tc>
        <w:tc>
          <w:tcPr>
            <w:tcW w:w="987" w:type="dxa"/>
            <w:shd w:val="clear" w:color="auto" w:fill="F7F7F7"/>
            <w:vAlign w:val="center"/>
          </w:tcPr>
          <w:p w14:paraId="78C945E8">
            <w:pPr>
              <w:spacing w:before="0" w:after="0" w:line="240" w:lineRule="auto"/>
              <w:jc w:val="center"/>
            </w:pPr>
            <w:r>
              <w:rPr>
                <w:rFonts w:ascii="Times New Roman" w:hAnsi="Times New Roman" w:eastAsia="Times New Roman" w:cs="Times New Roman"/>
                <w:b w:val="0"/>
                <w:sz w:val="14"/>
              </w:rPr>
              <w:t>10.01–10.11</w:t>
            </w:r>
          </w:p>
        </w:tc>
        <w:tc>
          <w:tcPr>
            <w:tcW w:w="987" w:type="dxa"/>
            <w:shd w:val="clear" w:color="auto" w:fill="F7F7F7"/>
            <w:vAlign w:val="center"/>
          </w:tcPr>
          <w:p w14:paraId="2F560927">
            <w:pPr>
              <w:spacing w:before="0" w:after="0" w:line="240" w:lineRule="auto"/>
              <w:jc w:val="center"/>
            </w:pPr>
            <w:r>
              <w:rPr>
                <w:rFonts w:ascii="Times New Roman" w:hAnsi="Times New Roman" w:eastAsia="Times New Roman" w:cs="Times New Roman"/>
                <w:b w:val="0"/>
                <w:sz w:val="14"/>
              </w:rPr>
              <w:t>0.000 ± 0.000</w:t>
            </w:r>
          </w:p>
        </w:tc>
        <w:tc>
          <w:tcPr>
            <w:tcW w:w="987" w:type="dxa"/>
            <w:shd w:val="clear" w:color="auto" w:fill="F7F7F7"/>
            <w:vAlign w:val="center"/>
          </w:tcPr>
          <w:p w14:paraId="03911E80">
            <w:pPr>
              <w:spacing w:before="0" w:after="0" w:line="240" w:lineRule="auto"/>
              <w:jc w:val="center"/>
            </w:pPr>
            <w:r>
              <w:rPr>
                <w:rFonts w:ascii="Times New Roman" w:hAnsi="Times New Roman" w:eastAsia="Times New Roman" w:cs="Times New Roman"/>
                <w:b w:val="0"/>
                <w:sz w:val="14"/>
              </w:rPr>
              <w:t>0.00148451 ± 0.00003518</w:t>
            </w:r>
          </w:p>
        </w:tc>
      </w:tr>
      <w:tr w14:paraId="28C672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vAlign w:val="center"/>
          </w:tcPr>
          <w:p w14:paraId="6B380649">
            <w:pPr>
              <w:spacing w:before="0" w:after="0" w:line="240" w:lineRule="auto"/>
              <w:jc w:val="left"/>
            </w:pPr>
            <w:r>
              <w:rPr>
                <w:rFonts w:ascii="Times New Roman" w:hAnsi="Times New Roman" w:eastAsia="Times New Roman" w:cs="Times New Roman"/>
                <w:b w:val="0"/>
                <w:sz w:val="14"/>
              </w:rPr>
              <w:t>W02</w:t>
            </w:r>
          </w:p>
        </w:tc>
        <w:tc>
          <w:tcPr>
            <w:tcW w:w="987" w:type="dxa"/>
            <w:vAlign w:val="center"/>
          </w:tcPr>
          <w:p w14:paraId="17594220">
            <w:pPr>
              <w:spacing w:before="0" w:after="0" w:line="240" w:lineRule="auto"/>
              <w:jc w:val="left"/>
            </w:pPr>
            <w:r>
              <w:rPr>
                <w:rFonts w:ascii="Times New Roman" w:hAnsi="Times New Roman" w:eastAsia="Times New Roman" w:cs="Times New Roman"/>
                <w:b w:val="0"/>
                <w:sz w:val="14"/>
              </w:rPr>
              <w:t>EC2</w:t>
            </w:r>
          </w:p>
        </w:tc>
        <w:tc>
          <w:tcPr>
            <w:tcW w:w="987" w:type="dxa"/>
            <w:vAlign w:val="center"/>
          </w:tcPr>
          <w:p w14:paraId="7F143C60">
            <w:pPr>
              <w:spacing w:before="0" w:after="0" w:line="240" w:lineRule="auto"/>
              <w:jc w:val="center"/>
            </w:pPr>
            <w:r>
              <w:rPr>
                <w:rFonts w:ascii="Times New Roman" w:hAnsi="Times New Roman" w:eastAsia="Times New Roman" w:cs="Times New Roman"/>
                <w:b w:val="0"/>
                <w:sz w:val="14"/>
              </w:rPr>
              <w:t>3</w:t>
            </w:r>
          </w:p>
        </w:tc>
        <w:tc>
          <w:tcPr>
            <w:tcW w:w="987" w:type="dxa"/>
            <w:vAlign w:val="center"/>
          </w:tcPr>
          <w:p w14:paraId="7839CDDE">
            <w:pPr>
              <w:spacing w:before="0" w:after="0" w:line="240" w:lineRule="auto"/>
              <w:jc w:val="center"/>
            </w:pPr>
            <w:r>
              <w:rPr>
                <w:rFonts w:ascii="Times New Roman" w:hAnsi="Times New Roman" w:eastAsia="Times New Roman" w:cs="Times New Roman"/>
                <w:b w:val="0"/>
                <w:sz w:val="14"/>
              </w:rPr>
              <w:t>200.09 ± 109.50</w:t>
            </w:r>
          </w:p>
        </w:tc>
        <w:tc>
          <w:tcPr>
            <w:tcW w:w="987" w:type="dxa"/>
            <w:vAlign w:val="center"/>
          </w:tcPr>
          <w:p w14:paraId="2FD32AFC">
            <w:pPr>
              <w:spacing w:before="0" w:after="0" w:line="240" w:lineRule="auto"/>
              <w:jc w:val="center"/>
            </w:pPr>
            <w:r>
              <w:rPr>
                <w:rFonts w:ascii="Times New Roman" w:hAnsi="Times New Roman" w:eastAsia="Times New Roman" w:cs="Times New Roman"/>
                <w:b w:val="0"/>
                <w:sz w:val="14"/>
              </w:rPr>
              <w:t>134.25–326.49</w:t>
            </w:r>
          </w:p>
        </w:tc>
        <w:tc>
          <w:tcPr>
            <w:tcW w:w="987" w:type="dxa"/>
            <w:vAlign w:val="center"/>
          </w:tcPr>
          <w:p w14:paraId="2C19E6E7">
            <w:pPr>
              <w:spacing w:before="0" w:after="0" w:line="240" w:lineRule="auto"/>
              <w:jc w:val="center"/>
            </w:pPr>
            <w:r>
              <w:rPr>
                <w:rFonts w:ascii="Times New Roman" w:hAnsi="Times New Roman" w:eastAsia="Times New Roman" w:cs="Times New Roman"/>
                <w:b w:val="0"/>
                <w:sz w:val="14"/>
              </w:rPr>
              <w:t>730.00 ± 840.77</w:t>
            </w:r>
          </w:p>
        </w:tc>
        <w:tc>
          <w:tcPr>
            <w:tcW w:w="987" w:type="dxa"/>
            <w:vAlign w:val="center"/>
          </w:tcPr>
          <w:p w14:paraId="6AC6B880">
            <w:pPr>
              <w:spacing w:before="0" w:after="0" w:line="240" w:lineRule="auto"/>
              <w:jc w:val="center"/>
            </w:pPr>
            <w:r>
              <w:rPr>
                <w:rFonts w:ascii="Times New Roman" w:hAnsi="Times New Roman" w:eastAsia="Times New Roman" w:cs="Times New Roman"/>
                <w:b w:val="0"/>
                <w:sz w:val="14"/>
              </w:rPr>
              <w:t>26.70 ± 4.65</w:t>
            </w:r>
          </w:p>
        </w:tc>
        <w:tc>
          <w:tcPr>
            <w:tcW w:w="987" w:type="dxa"/>
            <w:vAlign w:val="center"/>
          </w:tcPr>
          <w:p w14:paraId="6D7E5655">
            <w:pPr>
              <w:spacing w:before="0" w:after="0" w:line="240" w:lineRule="auto"/>
              <w:jc w:val="center"/>
            </w:pPr>
            <w:r>
              <w:rPr>
                <w:rFonts w:ascii="Times New Roman" w:hAnsi="Times New Roman" w:eastAsia="Times New Roman" w:cs="Times New Roman"/>
                <w:b w:val="0"/>
                <w:sz w:val="14"/>
              </w:rPr>
              <w:t>21.33–29.51</w:t>
            </w:r>
          </w:p>
        </w:tc>
        <w:tc>
          <w:tcPr>
            <w:tcW w:w="987" w:type="dxa"/>
            <w:vAlign w:val="center"/>
          </w:tcPr>
          <w:p w14:paraId="03E7ED9A">
            <w:pPr>
              <w:spacing w:before="0" w:after="0" w:line="240" w:lineRule="auto"/>
              <w:jc w:val="center"/>
            </w:pPr>
            <w:r>
              <w:rPr>
                <w:rFonts w:ascii="Times New Roman" w:hAnsi="Times New Roman" w:eastAsia="Times New Roman" w:cs="Times New Roman"/>
                <w:b w:val="0"/>
                <w:sz w:val="14"/>
              </w:rPr>
              <w:t>0.000 ± 0.000</w:t>
            </w:r>
          </w:p>
        </w:tc>
        <w:tc>
          <w:tcPr>
            <w:tcW w:w="987" w:type="dxa"/>
            <w:vAlign w:val="center"/>
          </w:tcPr>
          <w:p w14:paraId="21028202">
            <w:pPr>
              <w:spacing w:before="0" w:after="0" w:line="240" w:lineRule="auto"/>
              <w:jc w:val="center"/>
            </w:pPr>
            <w:r>
              <w:rPr>
                <w:rFonts w:ascii="Times New Roman" w:hAnsi="Times New Roman" w:eastAsia="Times New Roman" w:cs="Times New Roman"/>
                <w:b w:val="0"/>
                <w:sz w:val="14"/>
              </w:rPr>
              <w:t>0.00031057 ± 0.00005993</w:t>
            </w:r>
          </w:p>
        </w:tc>
      </w:tr>
      <w:tr w14:paraId="66E2A60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shd w:val="clear" w:color="auto" w:fill="F7F7F7"/>
            <w:vAlign w:val="center"/>
          </w:tcPr>
          <w:p w14:paraId="01F1FA4F">
            <w:pPr>
              <w:spacing w:before="0" w:after="0" w:line="240" w:lineRule="auto"/>
              <w:jc w:val="left"/>
            </w:pPr>
            <w:r>
              <w:rPr>
                <w:rFonts w:ascii="Times New Roman" w:hAnsi="Times New Roman" w:eastAsia="Times New Roman" w:cs="Times New Roman"/>
                <w:b w:val="0"/>
                <w:sz w:val="14"/>
              </w:rPr>
              <w:t>W02</w:t>
            </w:r>
          </w:p>
        </w:tc>
        <w:tc>
          <w:tcPr>
            <w:tcW w:w="987" w:type="dxa"/>
            <w:shd w:val="clear" w:color="auto" w:fill="F7F7F7"/>
            <w:vAlign w:val="center"/>
          </w:tcPr>
          <w:p w14:paraId="633F454D">
            <w:pPr>
              <w:spacing w:before="0" w:after="0" w:line="240" w:lineRule="auto"/>
              <w:jc w:val="left"/>
            </w:pPr>
            <w:r>
              <w:rPr>
                <w:rFonts w:ascii="Times New Roman" w:hAnsi="Times New Roman" w:eastAsia="Times New Roman" w:cs="Times New Roman"/>
                <w:b w:val="0"/>
                <w:sz w:val="14"/>
              </w:rPr>
              <w:t>Serverless</w:t>
            </w:r>
          </w:p>
        </w:tc>
        <w:tc>
          <w:tcPr>
            <w:tcW w:w="987" w:type="dxa"/>
            <w:shd w:val="clear" w:color="auto" w:fill="F7F7F7"/>
            <w:vAlign w:val="center"/>
          </w:tcPr>
          <w:p w14:paraId="210DC2B7">
            <w:pPr>
              <w:spacing w:before="0" w:after="0" w:line="240" w:lineRule="auto"/>
              <w:jc w:val="center"/>
            </w:pPr>
            <w:r>
              <w:rPr>
                <w:rFonts w:ascii="Times New Roman" w:hAnsi="Times New Roman" w:eastAsia="Times New Roman" w:cs="Times New Roman"/>
                <w:b w:val="0"/>
                <w:sz w:val="14"/>
              </w:rPr>
              <w:t>3</w:t>
            </w:r>
          </w:p>
        </w:tc>
        <w:tc>
          <w:tcPr>
            <w:tcW w:w="987" w:type="dxa"/>
            <w:shd w:val="clear" w:color="auto" w:fill="F7F7F7"/>
            <w:vAlign w:val="center"/>
          </w:tcPr>
          <w:p w14:paraId="53B3B209">
            <w:pPr>
              <w:spacing w:before="0" w:after="0" w:line="240" w:lineRule="auto"/>
              <w:jc w:val="center"/>
            </w:pPr>
            <w:r>
              <w:rPr>
                <w:rFonts w:ascii="Times New Roman" w:hAnsi="Times New Roman" w:eastAsia="Times New Roman" w:cs="Times New Roman"/>
                <w:b w:val="0"/>
                <w:sz w:val="14"/>
              </w:rPr>
              <w:t>174.43 ± 53.99</w:t>
            </w:r>
          </w:p>
        </w:tc>
        <w:tc>
          <w:tcPr>
            <w:tcW w:w="987" w:type="dxa"/>
            <w:shd w:val="clear" w:color="auto" w:fill="F7F7F7"/>
            <w:vAlign w:val="center"/>
          </w:tcPr>
          <w:p w14:paraId="28CC548E">
            <w:pPr>
              <w:spacing w:before="0" w:after="0" w:line="240" w:lineRule="auto"/>
              <w:jc w:val="center"/>
            </w:pPr>
            <w:r>
              <w:rPr>
                <w:rFonts w:ascii="Times New Roman" w:hAnsi="Times New Roman" w:eastAsia="Times New Roman" w:cs="Times New Roman"/>
                <w:b w:val="0"/>
                <w:sz w:val="14"/>
              </w:rPr>
              <w:t>138.62–236.53</w:t>
            </w:r>
          </w:p>
        </w:tc>
        <w:tc>
          <w:tcPr>
            <w:tcW w:w="987" w:type="dxa"/>
            <w:shd w:val="clear" w:color="auto" w:fill="F7F7F7"/>
            <w:vAlign w:val="center"/>
          </w:tcPr>
          <w:p w14:paraId="08F9C67A">
            <w:pPr>
              <w:spacing w:before="0" w:after="0" w:line="240" w:lineRule="auto"/>
              <w:jc w:val="center"/>
            </w:pPr>
            <w:r>
              <w:rPr>
                <w:rFonts w:ascii="Times New Roman" w:hAnsi="Times New Roman" w:eastAsia="Times New Roman" w:cs="Times New Roman"/>
                <w:b w:val="0"/>
                <w:sz w:val="14"/>
              </w:rPr>
              <w:t>426.67 ± 297.71</w:t>
            </w:r>
          </w:p>
        </w:tc>
        <w:tc>
          <w:tcPr>
            <w:tcW w:w="987" w:type="dxa"/>
            <w:shd w:val="clear" w:color="auto" w:fill="F7F7F7"/>
            <w:vAlign w:val="center"/>
          </w:tcPr>
          <w:p w14:paraId="7B5FBD14">
            <w:pPr>
              <w:spacing w:before="0" w:after="0" w:line="240" w:lineRule="auto"/>
              <w:jc w:val="center"/>
            </w:pPr>
            <w:r>
              <w:rPr>
                <w:rFonts w:ascii="Times New Roman" w:hAnsi="Times New Roman" w:eastAsia="Times New Roman" w:cs="Times New Roman"/>
                <w:b w:val="0"/>
                <w:sz w:val="14"/>
              </w:rPr>
              <w:t>27.59 ± 2.70</w:t>
            </w:r>
          </w:p>
        </w:tc>
        <w:tc>
          <w:tcPr>
            <w:tcW w:w="987" w:type="dxa"/>
            <w:shd w:val="clear" w:color="auto" w:fill="F7F7F7"/>
            <w:vAlign w:val="center"/>
          </w:tcPr>
          <w:p w14:paraId="60C31356">
            <w:pPr>
              <w:spacing w:before="0" w:after="0" w:line="240" w:lineRule="auto"/>
              <w:jc w:val="center"/>
            </w:pPr>
            <w:r>
              <w:rPr>
                <w:rFonts w:ascii="Times New Roman" w:hAnsi="Times New Roman" w:eastAsia="Times New Roman" w:cs="Times New Roman"/>
                <w:b w:val="0"/>
                <w:sz w:val="14"/>
              </w:rPr>
              <w:t>24.50–29.54</w:t>
            </w:r>
          </w:p>
        </w:tc>
        <w:tc>
          <w:tcPr>
            <w:tcW w:w="987" w:type="dxa"/>
            <w:shd w:val="clear" w:color="auto" w:fill="F7F7F7"/>
            <w:vAlign w:val="center"/>
          </w:tcPr>
          <w:p w14:paraId="1A345859">
            <w:pPr>
              <w:spacing w:before="0" w:after="0" w:line="240" w:lineRule="auto"/>
              <w:jc w:val="center"/>
            </w:pPr>
            <w:r>
              <w:rPr>
                <w:rFonts w:ascii="Times New Roman" w:hAnsi="Times New Roman" w:eastAsia="Times New Roman" w:cs="Times New Roman"/>
                <w:b w:val="0"/>
                <w:sz w:val="14"/>
              </w:rPr>
              <w:t>0.115 ± 0.199</w:t>
            </w:r>
          </w:p>
        </w:tc>
        <w:tc>
          <w:tcPr>
            <w:tcW w:w="987" w:type="dxa"/>
            <w:shd w:val="clear" w:color="auto" w:fill="F7F7F7"/>
            <w:vAlign w:val="center"/>
          </w:tcPr>
          <w:p w14:paraId="6F899E1C">
            <w:pPr>
              <w:spacing w:before="0" w:after="0" w:line="240" w:lineRule="auto"/>
              <w:jc w:val="center"/>
            </w:pPr>
            <w:r>
              <w:rPr>
                <w:rFonts w:ascii="Times New Roman" w:hAnsi="Times New Roman" w:eastAsia="Times New Roman" w:cs="Times New Roman"/>
                <w:b w:val="0"/>
                <w:sz w:val="14"/>
              </w:rPr>
              <w:t>0.00129150 ± 0.00053157</w:t>
            </w:r>
          </w:p>
        </w:tc>
      </w:tr>
      <w:tr w14:paraId="115E034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vAlign w:val="center"/>
          </w:tcPr>
          <w:p w14:paraId="1B52B6EB">
            <w:pPr>
              <w:spacing w:before="0" w:after="0" w:line="240" w:lineRule="auto"/>
              <w:jc w:val="left"/>
            </w:pPr>
            <w:r>
              <w:rPr>
                <w:rFonts w:ascii="Times New Roman" w:hAnsi="Times New Roman" w:eastAsia="Times New Roman" w:cs="Times New Roman"/>
                <w:b w:val="0"/>
                <w:sz w:val="14"/>
              </w:rPr>
              <w:t>W03</w:t>
            </w:r>
          </w:p>
        </w:tc>
        <w:tc>
          <w:tcPr>
            <w:tcW w:w="987" w:type="dxa"/>
            <w:vAlign w:val="center"/>
          </w:tcPr>
          <w:p w14:paraId="52B0585B">
            <w:pPr>
              <w:spacing w:before="0" w:after="0" w:line="240" w:lineRule="auto"/>
              <w:jc w:val="left"/>
            </w:pPr>
            <w:r>
              <w:rPr>
                <w:rFonts w:ascii="Times New Roman" w:hAnsi="Times New Roman" w:eastAsia="Times New Roman" w:cs="Times New Roman"/>
                <w:b w:val="0"/>
                <w:sz w:val="14"/>
              </w:rPr>
              <w:t>EC2</w:t>
            </w:r>
          </w:p>
        </w:tc>
        <w:tc>
          <w:tcPr>
            <w:tcW w:w="987" w:type="dxa"/>
            <w:vAlign w:val="center"/>
          </w:tcPr>
          <w:p w14:paraId="3D4DE0DE">
            <w:pPr>
              <w:spacing w:before="0" w:after="0" w:line="240" w:lineRule="auto"/>
              <w:jc w:val="center"/>
            </w:pPr>
            <w:r>
              <w:rPr>
                <w:rFonts w:ascii="Times New Roman" w:hAnsi="Times New Roman" w:eastAsia="Times New Roman" w:cs="Times New Roman"/>
                <w:b w:val="0"/>
                <w:sz w:val="14"/>
              </w:rPr>
              <w:t>3</w:t>
            </w:r>
          </w:p>
        </w:tc>
        <w:tc>
          <w:tcPr>
            <w:tcW w:w="987" w:type="dxa"/>
            <w:vAlign w:val="center"/>
          </w:tcPr>
          <w:p w14:paraId="228694CB">
            <w:pPr>
              <w:spacing w:before="0" w:after="0" w:line="240" w:lineRule="auto"/>
              <w:jc w:val="center"/>
            </w:pPr>
            <w:r>
              <w:rPr>
                <w:rFonts w:ascii="Times New Roman" w:hAnsi="Times New Roman" w:eastAsia="Times New Roman" w:cs="Times New Roman"/>
                <w:b w:val="0"/>
                <w:sz w:val="14"/>
              </w:rPr>
              <w:t>341.52 ± 220.69</w:t>
            </w:r>
          </w:p>
        </w:tc>
        <w:tc>
          <w:tcPr>
            <w:tcW w:w="987" w:type="dxa"/>
            <w:vAlign w:val="center"/>
          </w:tcPr>
          <w:p w14:paraId="68F31D10">
            <w:pPr>
              <w:spacing w:before="0" w:after="0" w:line="240" w:lineRule="auto"/>
              <w:jc w:val="center"/>
            </w:pPr>
            <w:r>
              <w:rPr>
                <w:rFonts w:ascii="Times New Roman" w:hAnsi="Times New Roman" w:eastAsia="Times New Roman" w:cs="Times New Roman"/>
                <w:b w:val="0"/>
                <w:sz w:val="14"/>
              </w:rPr>
              <w:t>208.22–596.26</w:t>
            </w:r>
          </w:p>
        </w:tc>
        <w:tc>
          <w:tcPr>
            <w:tcW w:w="987" w:type="dxa"/>
            <w:vAlign w:val="center"/>
          </w:tcPr>
          <w:p w14:paraId="2AC1366E">
            <w:pPr>
              <w:spacing w:before="0" w:after="0" w:line="240" w:lineRule="auto"/>
              <w:jc w:val="center"/>
            </w:pPr>
            <w:r>
              <w:rPr>
                <w:rFonts w:ascii="Times New Roman" w:hAnsi="Times New Roman" w:eastAsia="Times New Roman" w:cs="Times New Roman"/>
                <w:b w:val="0"/>
                <w:sz w:val="14"/>
              </w:rPr>
              <w:t>720.00 ± 675.80</w:t>
            </w:r>
          </w:p>
        </w:tc>
        <w:tc>
          <w:tcPr>
            <w:tcW w:w="987" w:type="dxa"/>
            <w:vAlign w:val="center"/>
          </w:tcPr>
          <w:p w14:paraId="4CBEFC32">
            <w:pPr>
              <w:spacing w:before="0" w:after="0" w:line="240" w:lineRule="auto"/>
              <w:jc w:val="center"/>
            </w:pPr>
            <w:r>
              <w:rPr>
                <w:rFonts w:ascii="Times New Roman" w:hAnsi="Times New Roman" w:eastAsia="Times New Roman" w:cs="Times New Roman"/>
                <w:b w:val="0"/>
                <w:sz w:val="14"/>
              </w:rPr>
              <w:t>43.72 ± 11.76</w:t>
            </w:r>
          </w:p>
        </w:tc>
        <w:tc>
          <w:tcPr>
            <w:tcW w:w="987" w:type="dxa"/>
            <w:vAlign w:val="center"/>
          </w:tcPr>
          <w:p w14:paraId="26265D34">
            <w:pPr>
              <w:spacing w:before="0" w:after="0" w:line="240" w:lineRule="auto"/>
              <w:jc w:val="center"/>
            </w:pPr>
            <w:r>
              <w:rPr>
                <w:rFonts w:ascii="Times New Roman" w:hAnsi="Times New Roman" w:eastAsia="Times New Roman" w:cs="Times New Roman"/>
                <w:b w:val="0"/>
                <w:sz w:val="14"/>
              </w:rPr>
              <w:t>30.15–51.03</w:t>
            </w:r>
          </w:p>
        </w:tc>
        <w:tc>
          <w:tcPr>
            <w:tcW w:w="987" w:type="dxa"/>
            <w:vAlign w:val="center"/>
          </w:tcPr>
          <w:p w14:paraId="2FDA3F5A">
            <w:pPr>
              <w:spacing w:before="0" w:after="0" w:line="240" w:lineRule="auto"/>
              <w:jc w:val="center"/>
            </w:pPr>
            <w:r>
              <w:rPr>
                <w:rFonts w:ascii="Times New Roman" w:hAnsi="Times New Roman" w:eastAsia="Times New Roman" w:cs="Times New Roman"/>
                <w:b w:val="0"/>
                <w:sz w:val="14"/>
              </w:rPr>
              <w:t>0.000 ± 0.000</w:t>
            </w:r>
          </w:p>
        </w:tc>
        <w:tc>
          <w:tcPr>
            <w:tcW w:w="987" w:type="dxa"/>
            <w:vAlign w:val="center"/>
          </w:tcPr>
          <w:p w14:paraId="1FA34272">
            <w:pPr>
              <w:spacing w:before="0" w:after="0" w:line="240" w:lineRule="auto"/>
              <w:jc w:val="center"/>
            </w:pPr>
            <w:r>
              <w:rPr>
                <w:rFonts w:ascii="Times New Roman" w:hAnsi="Times New Roman" w:eastAsia="Times New Roman" w:cs="Times New Roman"/>
                <w:b w:val="0"/>
                <w:sz w:val="14"/>
              </w:rPr>
              <w:t>0.00019401 ± 0.00006020</w:t>
            </w:r>
          </w:p>
        </w:tc>
      </w:tr>
      <w:tr w14:paraId="7FADDC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shd w:val="clear" w:color="auto" w:fill="F7F7F7"/>
            <w:vAlign w:val="center"/>
          </w:tcPr>
          <w:p w14:paraId="392FB96E">
            <w:pPr>
              <w:spacing w:before="0" w:after="0" w:line="240" w:lineRule="auto"/>
              <w:jc w:val="left"/>
            </w:pPr>
            <w:r>
              <w:rPr>
                <w:rFonts w:ascii="Times New Roman" w:hAnsi="Times New Roman" w:eastAsia="Times New Roman" w:cs="Times New Roman"/>
                <w:b w:val="0"/>
                <w:sz w:val="14"/>
              </w:rPr>
              <w:t>W03</w:t>
            </w:r>
          </w:p>
        </w:tc>
        <w:tc>
          <w:tcPr>
            <w:tcW w:w="987" w:type="dxa"/>
            <w:shd w:val="clear" w:color="auto" w:fill="F7F7F7"/>
            <w:vAlign w:val="center"/>
          </w:tcPr>
          <w:p w14:paraId="54AD4992">
            <w:pPr>
              <w:spacing w:before="0" w:after="0" w:line="240" w:lineRule="auto"/>
              <w:jc w:val="left"/>
            </w:pPr>
            <w:r>
              <w:rPr>
                <w:rFonts w:ascii="Times New Roman" w:hAnsi="Times New Roman" w:eastAsia="Times New Roman" w:cs="Times New Roman"/>
                <w:b w:val="0"/>
                <w:sz w:val="14"/>
              </w:rPr>
              <w:t>Serverless</w:t>
            </w:r>
          </w:p>
        </w:tc>
        <w:tc>
          <w:tcPr>
            <w:tcW w:w="987" w:type="dxa"/>
            <w:shd w:val="clear" w:color="auto" w:fill="F7F7F7"/>
            <w:vAlign w:val="center"/>
          </w:tcPr>
          <w:p w14:paraId="1881AC5C">
            <w:pPr>
              <w:spacing w:before="0" w:after="0" w:line="240" w:lineRule="auto"/>
              <w:jc w:val="center"/>
            </w:pPr>
            <w:r>
              <w:rPr>
                <w:rFonts w:ascii="Times New Roman" w:hAnsi="Times New Roman" w:eastAsia="Times New Roman" w:cs="Times New Roman"/>
                <w:b w:val="0"/>
                <w:sz w:val="14"/>
              </w:rPr>
              <w:t>3</w:t>
            </w:r>
          </w:p>
        </w:tc>
        <w:tc>
          <w:tcPr>
            <w:tcW w:w="987" w:type="dxa"/>
            <w:shd w:val="clear" w:color="auto" w:fill="F7F7F7"/>
            <w:vAlign w:val="center"/>
          </w:tcPr>
          <w:p w14:paraId="6B0E710C">
            <w:pPr>
              <w:spacing w:before="0" w:after="0" w:line="240" w:lineRule="auto"/>
              <w:jc w:val="center"/>
            </w:pPr>
            <w:r>
              <w:rPr>
                <w:rFonts w:ascii="Times New Roman" w:hAnsi="Times New Roman" w:eastAsia="Times New Roman" w:cs="Times New Roman"/>
                <w:b w:val="0"/>
                <w:sz w:val="14"/>
              </w:rPr>
              <w:t>325.82 ± 181.16</w:t>
            </w:r>
          </w:p>
        </w:tc>
        <w:tc>
          <w:tcPr>
            <w:tcW w:w="987" w:type="dxa"/>
            <w:shd w:val="clear" w:color="auto" w:fill="F7F7F7"/>
            <w:vAlign w:val="center"/>
          </w:tcPr>
          <w:p w14:paraId="77B5BA91">
            <w:pPr>
              <w:spacing w:before="0" w:after="0" w:line="240" w:lineRule="auto"/>
              <w:jc w:val="center"/>
            </w:pPr>
            <w:r>
              <w:rPr>
                <w:rFonts w:ascii="Times New Roman" w:hAnsi="Times New Roman" w:eastAsia="Times New Roman" w:cs="Times New Roman"/>
                <w:b w:val="0"/>
                <w:sz w:val="14"/>
              </w:rPr>
              <w:t>135.96–496.80</w:t>
            </w:r>
          </w:p>
        </w:tc>
        <w:tc>
          <w:tcPr>
            <w:tcW w:w="987" w:type="dxa"/>
            <w:shd w:val="clear" w:color="auto" w:fill="F7F7F7"/>
            <w:vAlign w:val="center"/>
          </w:tcPr>
          <w:p w14:paraId="38851AC5">
            <w:pPr>
              <w:spacing w:before="0" w:after="0" w:line="240" w:lineRule="auto"/>
              <w:jc w:val="center"/>
            </w:pPr>
            <w:r>
              <w:rPr>
                <w:rFonts w:ascii="Times New Roman" w:hAnsi="Times New Roman" w:eastAsia="Times New Roman" w:cs="Times New Roman"/>
                <w:b w:val="0"/>
                <w:sz w:val="14"/>
              </w:rPr>
              <w:t>570.00 ± 547.45</w:t>
            </w:r>
          </w:p>
        </w:tc>
        <w:tc>
          <w:tcPr>
            <w:tcW w:w="987" w:type="dxa"/>
            <w:shd w:val="clear" w:color="auto" w:fill="F7F7F7"/>
            <w:vAlign w:val="center"/>
          </w:tcPr>
          <w:p w14:paraId="3352D1B0">
            <w:pPr>
              <w:spacing w:before="0" w:after="0" w:line="240" w:lineRule="auto"/>
              <w:jc w:val="center"/>
            </w:pPr>
            <w:r>
              <w:rPr>
                <w:rFonts w:ascii="Times New Roman" w:hAnsi="Times New Roman" w:eastAsia="Times New Roman" w:cs="Times New Roman"/>
                <w:b w:val="0"/>
                <w:sz w:val="14"/>
              </w:rPr>
              <w:t>40.00 ± 18.55</w:t>
            </w:r>
          </w:p>
        </w:tc>
        <w:tc>
          <w:tcPr>
            <w:tcW w:w="987" w:type="dxa"/>
            <w:shd w:val="clear" w:color="auto" w:fill="F7F7F7"/>
            <w:vAlign w:val="center"/>
          </w:tcPr>
          <w:p w14:paraId="1CF1AAF7">
            <w:pPr>
              <w:spacing w:before="0" w:after="0" w:line="240" w:lineRule="auto"/>
              <w:jc w:val="center"/>
            </w:pPr>
            <w:r>
              <w:rPr>
                <w:rFonts w:ascii="Times New Roman" w:hAnsi="Times New Roman" w:eastAsia="Times New Roman" w:cs="Times New Roman"/>
                <w:b w:val="0"/>
                <w:sz w:val="14"/>
              </w:rPr>
              <w:t>20.98–58.04</w:t>
            </w:r>
          </w:p>
        </w:tc>
        <w:tc>
          <w:tcPr>
            <w:tcW w:w="987" w:type="dxa"/>
            <w:shd w:val="clear" w:color="auto" w:fill="F7F7F7"/>
            <w:vAlign w:val="center"/>
          </w:tcPr>
          <w:p w14:paraId="1DA6DB3A">
            <w:pPr>
              <w:spacing w:before="0" w:after="0" w:line="240" w:lineRule="auto"/>
              <w:jc w:val="center"/>
            </w:pPr>
            <w:r>
              <w:rPr>
                <w:rFonts w:ascii="Times New Roman" w:hAnsi="Times New Roman" w:eastAsia="Times New Roman" w:cs="Times New Roman"/>
                <w:b w:val="0"/>
                <w:sz w:val="14"/>
              </w:rPr>
              <w:t>4.086 ± 4.286</w:t>
            </w:r>
          </w:p>
        </w:tc>
        <w:tc>
          <w:tcPr>
            <w:tcW w:w="987" w:type="dxa"/>
            <w:shd w:val="clear" w:color="auto" w:fill="F7F7F7"/>
            <w:vAlign w:val="center"/>
          </w:tcPr>
          <w:p w14:paraId="29662BAB">
            <w:pPr>
              <w:spacing w:before="0" w:after="0" w:line="240" w:lineRule="auto"/>
              <w:jc w:val="center"/>
            </w:pPr>
            <w:r>
              <w:rPr>
                <w:rFonts w:ascii="Times New Roman" w:hAnsi="Times New Roman" w:eastAsia="Times New Roman" w:cs="Times New Roman"/>
                <w:b w:val="0"/>
                <w:sz w:val="14"/>
              </w:rPr>
              <w:t>0.00178594 ± 0.00123867</w:t>
            </w:r>
          </w:p>
        </w:tc>
      </w:tr>
      <w:tr w14:paraId="23EDC95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vAlign w:val="center"/>
          </w:tcPr>
          <w:p w14:paraId="5EB13D0B">
            <w:pPr>
              <w:spacing w:before="0" w:after="0" w:line="240" w:lineRule="auto"/>
              <w:jc w:val="left"/>
            </w:pPr>
            <w:r>
              <w:rPr>
                <w:rFonts w:ascii="Times New Roman" w:hAnsi="Times New Roman" w:eastAsia="Times New Roman" w:cs="Times New Roman"/>
                <w:b w:val="0"/>
                <w:sz w:val="14"/>
              </w:rPr>
              <w:t>W04</w:t>
            </w:r>
          </w:p>
        </w:tc>
        <w:tc>
          <w:tcPr>
            <w:tcW w:w="987" w:type="dxa"/>
            <w:vAlign w:val="center"/>
          </w:tcPr>
          <w:p w14:paraId="598994CC">
            <w:pPr>
              <w:spacing w:before="0" w:after="0" w:line="240" w:lineRule="auto"/>
              <w:jc w:val="left"/>
            </w:pPr>
            <w:r>
              <w:rPr>
                <w:rFonts w:ascii="Times New Roman" w:hAnsi="Times New Roman" w:eastAsia="Times New Roman" w:cs="Times New Roman"/>
                <w:b w:val="0"/>
                <w:sz w:val="14"/>
              </w:rPr>
              <w:t>EC2</w:t>
            </w:r>
          </w:p>
        </w:tc>
        <w:tc>
          <w:tcPr>
            <w:tcW w:w="987" w:type="dxa"/>
            <w:vAlign w:val="center"/>
          </w:tcPr>
          <w:p w14:paraId="206940A4">
            <w:pPr>
              <w:spacing w:before="0" w:after="0" w:line="240" w:lineRule="auto"/>
              <w:jc w:val="center"/>
            </w:pPr>
            <w:r>
              <w:rPr>
                <w:rFonts w:ascii="Times New Roman" w:hAnsi="Times New Roman" w:eastAsia="Times New Roman" w:cs="Times New Roman"/>
                <w:b w:val="0"/>
                <w:sz w:val="14"/>
              </w:rPr>
              <w:t>3</w:t>
            </w:r>
          </w:p>
        </w:tc>
        <w:tc>
          <w:tcPr>
            <w:tcW w:w="987" w:type="dxa"/>
            <w:vAlign w:val="center"/>
          </w:tcPr>
          <w:p w14:paraId="47F75A43">
            <w:pPr>
              <w:spacing w:before="0" w:after="0" w:line="240" w:lineRule="auto"/>
              <w:jc w:val="center"/>
            </w:pPr>
            <w:r>
              <w:rPr>
                <w:rFonts w:ascii="Times New Roman" w:hAnsi="Times New Roman" w:eastAsia="Times New Roman" w:cs="Times New Roman"/>
                <w:b w:val="0"/>
                <w:sz w:val="14"/>
              </w:rPr>
              <w:t>225.00 ± 10.43</w:t>
            </w:r>
          </w:p>
        </w:tc>
        <w:tc>
          <w:tcPr>
            <w:tcW w:w="987" w:type="dxa"/>
            <w:vAlign w:val="center"/>
          </w:tcPr>
          <w:p w14:paraId="7C9C4935">
            <w:pPr>
              <w:spacing w:before="0" w:after="0" w:line="240" w:lineRule="auto"/>
              <w:jc w:val="center"/>
            </w:pPr>
            <w:r>
              <w:rPr>
                <w:rFonts w:ascii="Times New Roman" w:hAnsi="Times New Roman" w:eastAsia="Times New Roman" w:cs="Times New Roman"/>
                <w:b w:val="0"/>
                <w:sz w:val="14"/>
              </w:rPr>
              <w:t>214.38–235.24</w:t>
            </w:r>
          </w:p>
        </w:tc>
        <w:tc>
          <w:tcPr>
            <w:tcW w:w="987" w:type="dxa"/>
            <w:vAlign w:val="center"/>
          </w:tcPr>
          <w:p w14:paraId="242056BA">
            <w:pPr>
              <w:spacing w:before="0" w:after="0" w:line="240" w:lineRule="auto"/>
              <w:jc w:val="center"/>
            </w:pPr>
            <w:r>
              <w:rPr>
                <w:rFonts w:ascii="Times New Roman" w:hAnsi="Times New Roman" w:eastAsia="Times New Roman" w:cs="Times New Roman"/>
                <w:b w:val="0"/>
                <w:sz w:val="14"/>
              </w:rPr>
              <w:t>400.00 ± 55.68</w:t>
            </w:r>
          </w:p>
        </w:tc>
        <w:tc>
          <w:tcPr>
            <w:tcW w:w="987" w:type="dxa"/>
            <w:vAlign w:val="center"/>
          </w:tcPr>
          <w:p w14:paraId="420E4B91">
            <w:pPr>
              <w:spacing w:before="0" w:after="0" w:line="240" w:lineRule="auto"/>
              <w:jc w:val="center"/>
            </w:pPr>
            <w:r>
              <w:rPr>
                <w:rFonts w:ascii="Times New Roman" w:hAnsi="Times New Roman" w:eastAsia="Times New Roman" w:cs="Times New Roman"/>
                <w:b w:val="0"/>
                <w:sz w:val="14"/>
              </w:rPr>
              <w:t>51.78 ± 0.97</w:t>
            </w:r>
          </w:p>
        </w:tc>
        <w:tc>
          <w:tcPr>
            <w:tcW w:w="987" w:type="dxa"/>
            <w:vAlign w:val="center"/>
          </w:tcPr>
          <w:p w14:paraId="1AB8B57E">
            <w:pPr>
              <w:spacing w:before="0" w:after="0" w:line="240" w:lineRule="auto"/>
              <w:jc w:val="center"/>
            </w:pPr>
            <w:r>
              <w:rPr>
                <w:rFonts w:ascii="Times New Roman" w:hAnsi="Times New Roman" w:eastAsia="Times New Roman" w:cs="Times New Roman"/>
                <w:b w:val="0"/>
                <w:sz w:val="14"/>
              </w:rPr>
              <w:t>50.88–52.81</w:t>
            </w:r>
          </w:p>
        </w:tc>
        <w:tc>
          <w:tcPr>
            <w:tcW w:w="987" w:type="dxa"/>
            <w:vAlign w:val="center"/>
          </w:tcPr>
          <w:p w14:paraId="15486C73">
            <w:pPr>
              <w:spacing w:before="0" w:after="0" w:line="240" w:lineRule="auto"/>
              <w:jc w:val="center"/>
            </w:pPr>
            <w:r>
              <w:rPr>
                <w:rFonts w:ascii="Times New Roman" w:hAnsi="Times New Roman" w:eastAsia="Times New Roman" w:cs="Times New Roman"/>
                <w:b w:val="0"/>
                <w:sz w:val="14"/>
              </w:rPr>
              <w:t>0.000 ± 0.000</w:t>
            </w:r>
          </w:p>
        </w:tc>
        <w:tc>
          <w:tcPr>
            <w:tcW w:w="987" w:type="dxa"/>
            <w:vAlign w:val="center"/>
          </w:tcPr>
          <w:p w14:paraId="0ED05C7F">
            <w:pPr>
              <w:spacing w:before="0" w:after="0" w:line="240" w:lineRule="auto"/>
              <w:jc w:val="center"/>
            </w:pPr>
            <w:r>
              <w:rPr>
                <w:rFonts w:ascii="Times New Roman" w:hAnsi="Times New Roman" w:eastAsia="Times New Roman" w:cs="Times New Roman"/>
                <w:b w:val="0"/>
                <w:sz w:val="14"/>
              </w:rPr>
              <w:t>0.00015402 ± 0.00000282</w:t>
            </w:r>
          </w:p>
        </w:tc>
      </w:tr>
      <w:tr w14:paraId="3479D0F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shd w:val="clear" w:color="auto" w:fill="F7F7F7"/>
            <w:vAlign w:val="center"/>
          </w:tcPr>
          <w:p w14:paraId="444D3F60">
            <w:pPr>
              <w:spacing w:before="0" w:after="0" w:line="240" w:lineRule="auto"/>
              <w:jc w:val="left"/>
            </w:pPr>
            <w:r>
              <w:rPr>
                <w:rFonts w:ascii="Times New Roman" w:hAnsi="Times New Roman" w:eastAsia="Times New Roman" w:cs="Times New Roman"/>
                <w:b w:val="0"/>
                <w:sz w:val="14"/>
              </w:rPr>
              <w:t>W04</w:t>
            </w:r>
          </w:p>
        </w:tc>
        <w:tc>
          <w:tcPr>
            <w:tcW w:w="987" w:type="dxa"/>
            <w:shd w:val="clear" w:color="auto" w:fill="F7F7F7"/>
            <w:vAlign w:val="center"/>
          </w:tcPr>
          <w:p w14:paraId="3A9B345F">
            <w:pPr>
              <w:spacing w:before="0" w:after="0" w:line="240" w:lineRule="auto"/>
              <w:jc w:val="left"/>
            </w:pPr>
            <w:r>
              <w:rPr>
                <w:rFonts w:ascii="Times New Roman" w:hAnsi="Times New Roman" w:eastAsia="Times New Roman" w:cs="Times New Roman"/>
                <w:b w:val="0"/>
                <w:sz w:val="14"/>
              </w:rPr>
              <w:t>Serverless</w:t>
            </w:r>
          </w:p>
        </w:tc>
        <w:tc>
          <w:tcPr>
            <w:tcW w:w="987" w:type="dxa"/>
            <w:shd w:val="clear" w:color="auto" w:fill="F7F7F7"/>
            <w:vAlign w:val="center"/>
          </w:tcPr>
          <w:p w14:paraId="300AF867">
            <w:pPr>
              <w:spacing w:before="0" w:after="0" w:line="240" w:lineRule="auto"/>
              <w:jc w:val="center"/>
            </w:pPr>
            <w:r>
              <w:rPr>
                <w:rFonts w:ascii="Times New Roman" w:hAnsi="Times New Roman" w:eastAsia="Times New Roman" w:cs="Times New Roman"/>
                <w:b w:val="0"/>
                <w:sz w:val="14"/>
              </w:rPr>
              <w:t>3</w:t>
            </w:r>
          </w:p>
        </w:tc>
        <w:tc>
          <w:tcPr>
            <w:tcW w:w="987" w:type="dxa"/>
            <w:shd w:val="clear" w:color="auto" w:fill="F7F7F7"/>
            <w:vAlign w:val="center"/>
          </w:tcPr>
          <w:p w14:paraId="5725E69E">
            <w:pPr>
              <w:spacing w:before="0" w:after="0" w:line="240" w:lineRule="auto"/>
              <w:jc w:val="center"/>
            </w:pPr>
            <w:r>
              <w:rPr>
                <w:rFonts w:ascii="Times New Roman" w:hAnsi="Times New Roman" w:eastAsia="Times New Roman" w:cs="Times New Roman"/>
                <w:b w:val="0"/>
                <w:sz w:val="14"/>
              </w:rPr>
              <w:t>152.77 ± 20.63</w:t>
            </w:r>
          </w:p>
        </w:tc>
        <w:tc>
          <w:tcPr>
            <w:tcW w:w="987" w:type="dxa"/>
            <w:shd w:val="clear" w:color="auto" w:fill="F7F7F7"/>
            <w:vAlign w:val="center"/>
          </w:tcPr>
          <w:p w14:paraId="0741BACB">
            <w:pPr>
              <w:spacing w:before="0" w:after="0" w:line="240" w:lineRule="auto"/>
              <w:jc w:val="center"/>
            </w:pPr>
            <w:r>
              <w:rPr>
                <w:rFonts w:ascii="Times New Roman" w:hAnsi="Times New Roman" w:eastAsia="Times New Roman" w:cs="Times New Roman"/>
                <w:b w:val="0"/>
                <w:sz w:val="14"/>
              </w:rPr>
              <w:t>134.47–175.13</w:t>
            </w:r>
          </w:p>
        </w:tc>
        <w:tc>
          <w:tcPr>
            <w:tcW w:w="987" w:type="dxa"/>
            <w:shd w:val="clear" w:color="auto" w:fill="F7F7F7"/>
            <w:vAlign w:val="center"/>
          </w:tcPr>
          <w:p w14:paraId="26F6A4ED">
            <w:pPr>
              <w:spacing w:before="0" w:after="0" w:line="240" w:lineRule="auto"/>
              <w:jc w:val="center"/>
            </w:pPr>
            <w:r>
              <w:rPr>
                <w:rFonts w:ascii="Times New Roman" w:hAnsi="Times New Roman" w:eastAsia="Times New Roman" w:cs="Times New Roman"/>
                <w:b w:val="0"/>
                <w:sz w:val="14"/>
              </w:rPr>
              <w:t>300.00 ± 147.31</w:t>
            </w:r>
          </w:p>
        </w:tc>
        <w:tc>
          <w:tcPr>
            <w:tcW w:w="987" w:type="dxa"/>
            <w:shd w:val="clear" w:color="auto" w:fill="F7F7F7"/>
            <w:vAlign w:val="center"/>
          </w:tcPr>
          <w:p w14:paraId="2AE68ECA">
            <w:pPr>
              <w:spacing w:before="0" w:after="0" w:line="240" w:lineRule="auto"/>
              <w:jc w:val="center"/>
            </w:pPr>
            <w:r>
              <w:rPr>
                <w:rFonts w:ascii="Times New Roman" w:hAnsi="Times New Roman" w:eastAsia="Times New Roman" w:cs="Times New Roman"/>
                <w:b w:val="0"/>
                <w:sz w:val="14"/>
              </w:rPr>
              <w:t>59.26 ± 2.58</w:t>
            </w:r>
          </w:p>
        </w:tc>
        <w:tc>
          <w:tcPr>
            <w:tcW w:w="987" w:type="dxa"/>
            <w:shd w:val="clear" w:color="auto" w:fill="F7F7F7"/>
            <w:vAlign w:val="center"/>
          </w:tcPr>
          <w:p w14:paraId="01422AA9">
            <w:pPr>
              <w:spacing w:before="0" w:after="0" w:line="240" w:lineRule="auto"/>
              <w:jc w:val="center"/>
            </w:pPr>
            <w:r>
              <w:rPr>
                <w:rFonts w:ascii="Times New Roman" w:hAnsi="Times New Roman" w:eastAsia="Times New Roman" w:cs="Times New Roman"/>
                <w:b w:val="0"/>
                <w:sz w:val="14"/>
              </w:rPr>
              <w:t>56.57–61.70</w:t>
            </w:r>
          </w:p>
        </w:tc>
        <w:tc>
          <w:tcPr>
            <w:tcW w:w="987" w:type="dxa"/>
            <w:shd w:val="clear" w:color="auto" w:fill="F7F7F7"/>
            <w:vAlign w:val="center"/>
          </w:tcPr>
          <w:p w14:paraId="63099992">
            <w:pPr>
              <w:spacing w:before="0" w:after="0" w:line="240" w:lineRule="auto"/>
              <w:jc w:val="center"/>
            </w:pPr>
            <w:r>
              <w:rPr>
                <w:rFonts w:ascii="Times New Roman" w:hAnsi="Times New Roman" w:eastAsia="Times New Roman" w:cs="Times New Roman"/>
                <w:b w:val="0"/>
                <w:sz w:val="14"/>
              </w:rPr>
              <w:t>0.434 ± 0.118</w:t>
            </w:r>
          </w:p>
        </w:tc>
        <w:tc>
          <w:tcPr>
            <w:tcW w:w="987" w:type="dxa"/>
            <w:shd w:val="clear" w:color="auto" w:fill="F7F7F7"/>
            <w:vAlign w:val="center"/>
          </w:tcPr>
          <w:p w14:paraId="3CF2C0D0">
            <w:pPr>
              <w:spacing w:before="0" w:after="0" w:line="240" w:lineRule="auto"/>
              <w:jc w:val="center"/>
            </w:pPr>
            <w:r>
              <w:rPr>
                <w:rFonts w:ascii="Times New Roman" w:hAnsi="Times New Roman" w:eastAsia="Times New Roman" w:cs="Times New Roman"/>
                <w:b w:val="0"/>
                <w:sz w:val="14"/>
              </w:rPr>
              <w:t>0.00146294 ± 0.00007451</w:t>
            </w:r>
          </w:p>
        </w:tc>
      </w:tr>
      <w:tr w14:paraId="3B65D4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vAlign w:val="center"/>
          </w:tcPr>
          <w:p w14:paraId="230DD063">
            <w:pPr>
              <w:spacing w:before="0" w:after="0" w:line="240" w:lineRule="auto"/>
              <w:jc w:val="left"/>
            </w:pPr>
            <w:r>
              <w:rPr>
                <w:rFonts w:ascii="Times New Roman" w:hAnsi="Times New Roman" w:eastAsia="Times New Roman" w:cs="Times New Roman"/>
                <w:b w:val="0"/>
                <w:sz w:val="14"/>
              </w:rPr>
              <w:t>W05</w:t>
            </w:r>
          </w:p>
        </w:tc>
        <w:tc>
          <w:tcPr>
            <w:tcW w:w="987" w:type="dxa"/>
            <w:vAlign w:val="center"/>
          </w:tcPr>
          <w:p w14:paraId="64C8B8CB">
            <w:pPr>
              <w:spacing w:before="0" w:after="0" w:line="240" w:lineRule="auto"/>
              <w:jc w:val="left"/>
            </w:pPr>
            <w:r>
              <w:rPr>
                <w:rFonts w:ascii="Times New Roman" w:hAnsi="Times New Roman" w:eastAsia="Times New Roman" w:cs="Times New Roman"/>
                <w:b w:val="0"/>
                <w:sz w:val="14"/>
              </w:rPr>
              <w:t>EC2</w:t>
            </w:r>
          </w:p>
        </w:tc>
        <w:tc>
          <w:tcPr>
            <w:tcW w:w="987" w:type="dxa"/>
            <w:vAlign w:val="center"/>
          </w:tcPr>
          <w:p w14:paraId="4145588F">
            <w:pPr>
              <w:spacing w:before="0" w:after="0" w:line="240" w:lineRule="auto"/>
              <w:jc w:val="center"/>
            </w:pPr>
            <w:r>
              <w:rPr>
                <w:rFonts w:ascii="Times New Roman" w:hAnsi="Times New Roman" w:eastAsia="Times New Roman" w:cs="Times New Roman"/>
                <w:b w:val="0"/>
                <w:sz w:val="14"/>
              </w:rPr>
              <w:t>3</w:t>
            </w:r>
          </w:p>
        </w:tc>
        <w:tc>
          <w:tcPr>
            <w:tcW w:w="987" w:type="dxa"/>
            <w:vAlign w:val="center"/>
          </w:tcPr>
          <w:p w14:paraId="77311498">
            <w:pPr>
              <w:spacing w:before="0" w:after="0" w:line="240" w:lineRule="auto"/>
              <w:jc w:val="center"/>
            </w:pPr>
            <w:r>
              <w:rPr>
                <w:rFonts w:ascii="Times New Roman" w:hAnsi="Times New Roman" w:eastAsia="Times New Roman" w:cs="Times New Roman"/>
                <w:b w:val="0"/>
                <w:sz w:val="14"/>
              </w:rPr>
              <w:t>290.49 ± 142.04</w:t>
            </w:r>
          </w:p>
        </w:tc>
        <w:tc>
          <w:tcPr>
            <w:tcW w:w="987" w:type="dxa"/>
            <w:vAlign w:val="center"/>
          </w:tcPr>
          <w:p w14:paraId="2E84AE53">
            <w:pPr>
              <w:spacing w:before="0" w:after="0" w:line="240" w:lineRule="auto"/>
              <w:jc w:val="center"/>
            </w:pPr>
            <w:r>
              <w:rPr>
                <w:rFonts w:ascii="Times New Roman" w:hAnsi="Times New Roman" w:eastAsia="Times New Roman" w:cs="Times New Roman"/>
                <w:b w:val="0"/>
                <w:sz w:val="14"/>
              </w:rPr>
              <w:t>205.96–454.48</w:t>
            </w:r>
          </w:p>
        </w:tc>
        <w:tc>
          <w:tcPr>
            <w:tcW w:w="987" w:type="dxa"/>
            <w:vAlign w:val="center"/>
          </w:tcPr>
          <w:p w14:paraId="6176250E">
            <w:pPr>
              <w:spacing w:before="0" w:after="0" w:line="240" w:lineRule="auto"/>
              <w:jc w:val="center"/>
            </w:pPr>
            <w:r>
              <w:rPr>
                <w:rFonts w:ascii="Times New Roman" w:hAnsi="Times New Roman" w:eastAsia="Times New Roman" w:cs="Times New Roman"/>
                <w:b w:val="0"/>
                <w:sz w:val="14"/>
              </w:rPr>
              <w:t>396.67 ± 210.79</w:t>
            </w:r>
          </w:p>
        </w:tc>
        <w:tc>
          <w:tcPr>
            <w:tcW w:w="987" w:type="dxa"/>
            <w:vAlign w:val="center"/>
          </w:tcPr>
          <w:p w14:paraId="492F36FA">
            <w:pPr>
              <w:spacing w:before="0" w:after="0" w:line="240" w:lineRule="auto"/>
              <w:jc w:val="center"/>
            </w:pPr>
            <w:r>
              <w:rPr>
                <w:rFonts w:ascii="Times New Roman" w:hAnsi="Times New Roman" w:eastAsia="Times New Roman" w:cs="Times New Roman"/>
                <w:b w:val="0"/>
                <w:sz w:val="14"/>
              </w:rPr>
              <w:t>44.04 ± 15.98</w:t>
            </w:r>
          </w:p>
        </w:tc>
        <w:tc>
          <w:tcPr>
            <w:tcW w:w="987" w:type="dxa"/>
            <w:vAlign w:val="center"/>
          </w:tcPr>
          <w:p w14:paraId="0DF64A88">
            <w:pPr>
              <w:spacing w:before="0" w:after="0" w:line="240" w:lineRule="auto"/>
              <w:jc w:val="center"/>
            </w:pPr>
            <w:r>
              <w:rPr>
                <w:rFonts w:ascii="Times New Roman" w:hAnsi="Times New Roman" w:eastAsia="Times New Roman" w:cs="Times New Roman"/>
                <w:b w:val="0"/>
                <w:sz w:val="14"/>
              </w:rPr>
              <w:t>25.58–53.58</w:t>
            </w:r>
          </w:p>
        </w:tc>
        <w:tc>
          <w:tcPr>
            <w:tcW w:w="987" w:type="dxa"/>
            <w:vAlign w:val="center"/>
          </w:tcPr>
          <w:p w14:paraId="2C4A4D40">
            <w:pPr>
              <w:spacing w:before="0" w:after="0" w:line="240" w:lineRule="auto"/>
              <w:jc w:val="center"/>
            </w:pPr>
            <w:r>
              <w:rPr>
                <w:rFonts w:ascii="Times New Roman" w:hAnsi="Times New Roman" w:eastAsia="Times New Roman" w:cs="Times New Roman"/>
                <w:b w:val="0"/>
                <w:sz w:val="14"/>
              </w:rPr>
              <w:t>0.000 ± 0.000</w:t>
            </w:r>
          </w:p>
        </w:tc>
        <w:tc>
          <w:tcPr>
            <w:tcW w:w="987" w:type="dxa"/>
            <w:vAlign w:val="center"/>
          </w:tcPr>
          <w:p w14:paraId="3601B99B">
            <w:pPr>
              <w:spacing w:before="0" w:after="0" w:line="240" w:lineRule="auto"/>
              <w:jc w:val="center"/>
            </w:pPr>
            <w:r>
              <w:rPr>
                <w:rFonts w:ascii="Times New Roman" w:hAnsi="Times New Roman" w:eastAsia="Times New Roman" w:cs="Times New Roman"/>
                <w:b w:val="0"/>
                <w:sz w:val="14"/>
              </w:rPr>
              <w:t>0.00122208 ± 0.00056053</w:t>
            </w:r>
          </w:p>
        </w:tc>
      </w:tr>
      <w:tr w14:paraId="5CE22ED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shd w:val="clear" w:color="auto" w:fill="F7F7F7"/>
            <w:vAlign w:val="center"/>
          </w:tcPr>
          <w:p w14:paraId="12A3E72F">
            <w:pPr>
              <w:spacing w:before="0" w:after="0" w:line="240" w:lineRule="auto"/>
              <w:jc w:val="left"/>
            </w:pPr>
            <w:r>
              <w:rPr>
                <w:rFonts w:ascii="Times New Roman" w:hAnsi="Times New Roman" w:eastAsia="Times New Roman" w:cs="Times New Roman"/>
                <w:b w:val="0"/>
                <w:sz w:val="14"/>
              </w:rPr>
              <w:t>W05</w:t>
            </w:r>
          </w:p>
        </w:tc>
        <w:tc>
          <w:tcPr>
            <w:tcW w:w="987" w:type="dxa"/>
            <w:shd w:val="clear" w:color="auto" w:fill="F7F7F7"/>
            <w:vAlign w:val="center"/>
          </w:tcPr>
          <w:p w14:paraId="0378FBB8">
            <w:pPr>
              <w:spacing w:before="0" w:after="0" w:line="240" w:lineRule="auto"/>
              <w:jc w:val="left"/>
            </w:pPr>
            <w:r>
              <w:rPr>
                <w:rFonts w:ascii="Times New Roman" w:hAnsi="Times New Roman" w:eastAsia="Times New Roman" w:cs="Times New Roman"/>
                <w:b w:val="0"/>
                <w:sz w:val="14"/>
              </w:rPr>
              <w:t>Serverless</w:t>
            </w:r>
          </w:p>
        </w:tc>
        <w:tc>
          <w:tcPr>
            <w:tcW w:w="987" w:type="dxa"/>
            <w:shd w:val="clear" w:color="auto" w:fill="F7F7F7"/>
            <w:vAlign w:val="center"/>
          </w:tcPr>
          <w:p w14:paraId="4AA5D59B">
            <w:pPr>
              <w:spacing w:before="0" w:after="0" w:line="240" w:lineRule="auto"/>
              <w:jc w:val="center"/>
            </w:pPr>
            <w:r>
              <w:rPr>
                <w:rFonts w:ascii="Times New Roman" w:hAnsi="Times New Roman" w:eastAsia="Times New Roman" w:cs="Times New Roman"/>
                <w:b w:val="0"/>
                <w:sz w:val="14"/>
              </w:rPr>
              <w:t>3</w:t>
            </w:r>
          </w:p>
        </w:tc>
        <w:tc>
          <w:tcPr>
            <w:tcW w:w="987" w:type="dxa"/>
            <w:shd w:val="clear" w:color="auto" w:fill="F7F7F7"/>
            <w:vAlign w:val="center"/>
          </w:tcPr>
          <w:p w14:paraId="6AE83E57">
            <w:pPr>
              <w:spacing w:before="0" w:after="0" w:line="240" w:lineRule="auto"/>
              <w:jc w:val="center"/>
            </w:pPr>
            <w:r>
              <w:rPr>
                <w:rFonts w:ascii="Times New Roman" w:hAnsi="Times New Roman" w:eastAsia="Times New Roman" w:cs="Times New Roman"/>
                <w:b w:val="0"/>
                <w:sz w:val="14"/>
              </w:rPr>
              <w:t>168.64 ± 22.10</w:t>
            </w:r>
          </w:p>
        </w:tc>
        <w:tc>
          <w:tcPr>
            <w:tcW w:w="987" w:type="dxa"/>
            <w:shd w:val="clear" w:color="auto" w:fill="F7F7F7"/>
            <w:vAlign w:val="center"/>
          </w:tcPr>
          <w:p w14:paraId="6C2152E4">
            <w:pPr>
              <w:spacing w:before="0" w:after="0" w:line="240" w:lineRule="auto"/>
              <w:jc w:val="center"/>
            </w:pPr>
            <w:r>
              <w:rPr>
                <w:rFonts w:ascii="Times New Roman" w:hAnsi="Times New Roman" w:eastAsia="Times New Roman" w:cs="Times New Roman"/>
                <w:b w:val="0"/>
                <w:sz w:val="14"/>
              </w:rPr>
              <w:t>155.74–194.15</w:t>
            </w:r>
          </w:p>
        </w:tc>
        <w:tc>
          <w:tcPr>
            <w:tcW w:w="987" w:type="dxa"/>
            <w:shd w:val="clear" w:color="auto" w:fill="F7F7F7"/>
            <w:vAlign w:val="center"/>
          </w:tcPr>
          <w:p w14:paraId="74713ECB">
            <w:pPr>
              <w:spacing w:before="0" w:after="0" w:line="240" w:lineRule="auto"/>
              <w:jc w:val="center"/>
            </w:pPr>
            <w:r>
              <w:rPr>
                <w:rFonts w:ascii="Times New Roman" w:hAnsi="Times New Roman" w:eastAsia="Times New Roman" w:cs="Times New Roman"/>
                <w:b w:val="0"/>
                <w:sz w:val="14"/>
              </w:rPr>
              <w:t>340.00 ± 121.24</w:t>
            </w:r>
          </w:p>
        </w:tc>
        <w:tc>
          <w:tcPr>
            <w:tcW w:w="987" w:type="dxa"/>
            <w:shd w:val="clear" w:color="auto" w:fill="F7F7F7"/>
            <w:vAlign w:val="center"/>
          </w:tcPr>
          <w:p w14:paraId="3E3780CB">
            <w:pPr>
              <w:spacing w:before="0" w:after="0" w:line="240" w:lineRule="auto"/>
              <w:jc w:val="center"/>
            </w:pPr>
            <w:r>
              <w:rPr>
                <w:rFonts w:ascii="Times New Roman" w:hAnsi="Times New Roman" w:eastAsia="Times New Roman" w:cs="Times New Roman"/>
                <w:b w:val="0"/>
                <w:sz w:val="14"/>
              </w:rPr>
              <w:t>57.39 ± 2.33</w:t>
            </w:r>
          </w:p>
        </w:tc>
        <w:tc>
          <w:tcPr>
            <w:tcW w:w="987" w:type="dxa"/>
            <w:shd w:val="clear" w:color="auto" w:fill="F7F7F7"/>
            <w:vAlign w:val="center"/>
          </w:tcPr>
          <w:p w14:paraId="27E85E36">
            <w:pPr>
              <w:spacing w:before="0" w:after="0" w:line="240" w:lineRule="auto"/>
              <w:jc w:val="center"/>
            </w:pPr>
            <w:r>
              <w:rPr>
                <w:rFonts w:ascii="Times New Roman" w:hAnsi="Times New Roman" w:eastAsia="Times New Roman" w:cs="Times New Roman"/>
                <w:b w:val="0"/>
                <w:sz w:val="14"/>
              </w:rPr>
              <w:t>54.70–58.82</w:t>
            </w:r>
          </w:p>
        </w:tc>
        <w:tc>
          <w:tcPr>
            <w:tcW w:w="987" w:type="dxa"/>
            <w:shd w:val="clear" w:color="auto" w:fill="F7F7F7"/>
            <w:vAlign w:val="center"/>
          </w:tcPr>
          <w:p w14:paraId="5B91F9BF">
            <w:pPr>
              <w:spacing w:before="0" w:after="0" w:line="240" w:lineRule="auto"/>
              <w:jc w:val="center"/>
            </w:pPr>
            <w:r>
              <w:rPr>
                <w:rFonts w:ascii="Times New Roman" w:hAnsi="Times New Roman" w:eastAsia="Times New Roman" w:cs="Times New Roman"/>
                <w:b w:val="0"/>
                <w:sz w:val="14"/>
              </w:rPr>
              <w:t>0.916 ± 0.782</w:t>
            </w:r>
          </w:p>
        </w:tc>
        <w:tc>
          <w:tcPr>
            <w:tcW w:w="987" w:type="dxa"/>
            <w:shd w:val="clear" w:color="auto" w:fill="F7F7F7"/>
            <w:vAlign w:val="center"/>
          </w:tcPr>
          <w:p w14:paraId="2A01FAA3">
            <w:pPr>
              <w:spacing w:before="0" w:after="0" w:line="240" w:lineRule="auto"/>
              <w:jc w:val="center"/>
            </w:pPr>
            <w:r>
              <w:rPr>
                <w:rFonts w:ascii="Times New Roman" w:hAnsi="Times New Roman" w:eastAsia="Times New Roman" w:cs="Times New Roman"/>
                <w:b w:val="0"/>
                <w:sz w:val="14"/>
              </w:rPr>
              <w:t>0.00129720 ± 0.00034680</w:t>
            </w:r>
          </w:p>
        </w:tc>
      </w:tr>
      <w:tr w14:paraId="37EF8FB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vAlign w:val="center"/>
          </w:tcPr>
          <w:p w14:paraId="6A3EAC65">
            <w:pPr>
              <w:spacing w:before="0" w:after="0" w:line="240" w:lineRule="auto"/>
              <w:jc w:val="left"/>
            </w:pPr>
            <w:r>
              <w:rPr>
                <w:rFonts w:ascii="Times New Roman" w:hAnsi="Times New Roman" w:eastAsia="Times New Roman" w:cs="Times New Roman"/>
                <w:b w:val="0"/>
                <w:sz w:val="14"/>
              </w:rPr>
              <w:t>W06</w:t>
            </w:r>
          </w:p>
        </w:tc>
        <w:tc>
          <w:tcPr>
            <w:tcW w:w="987" w:type="dxa"/>
            <w:vAlign w:val="center"/>
          </w:tcPr>
          <w:p w14:paraId="2F504CED">
            <w:pPr>
              <w:spacing w:before="0" w:after="0" w:line="240" w:lineRule="auto"/>
              <w:jc w:val="left"/>
            </w:pPr>
            <w:r>
              <w:rPr>
                <w:rFonts w:ascii="Times New Roman" w:hAnsi="Times New Roman" w:eastAsia="Times New Roman" w:cs="Times New Roman"/>
                <w:b w:val="0"/>
                <w:sz w:val="14"/>
              </w:rPr>
              <w:t>EC2</w:t>
            </w:r>
          </w:p>
        </w:tc>
        <w:tc>
          <w:tcPr>
            <w:tcW w:w="987" w:type="dxa"/>
            <w:vAlign w:val="center"/>
          </w:tcPr>
          <w:p w14:paraId="42FABA7A">
            <w:pPr>
              <w:spacing w:before="0" w:after="0" w:line="240" w:lineRule="auto"/>
              <w:jc w:val="center"/>
            </w:pPr>
            <w:r>
              <w:rPr>
                <w:rFonts w:ascii="Times New Roman" w:hAnsi="Times New Roman" w:eastAsia="Times New Roman" w:cs="Times New Roman"/>
                <w:b w:val="0"/>
                <w:sz w:val="14"/>
              </w:rPr>
              <w:t>3</w:t>
            </w:r>
          </w:p>
        </w:tc>
        <w:tc>
          <w:tcPr>
            <w:tcW w:w="987" w:type="dxa"/>
            <w:vAlign w:val="center"/>
          </w:tcPr>
          <w:p w14:paraId="0BDE6E00">
            <w:pPr>
              <w:spacing w:before="0" w:after="0" w:line="240" w:lineRule="auto"/>
              <w:jc w:val="center"/>
            </w:pPr>
            <w:r>
              <w:rPr>
                <w:rFonts w:ascii="Times New Roman" w:hAnsi="Times New Roman" w:eastAsia="Times New Roman" w:cs="Times New Roman"/>
                <w:b w:val="0"/>
                <w:sz w:val="14"/>
              </w:rPr>
              <w:t>572.17 ± 449.46</w:t>
            </w:r>
          </w:p>
        </w:tc>
        <w:tc>
          <w:tcPr>
            <w:tcW w:w="987" w:type="dxa"/>
            <w:vAlign w:val="center"/>
          </w:tcPr>
          <w:p w14:paraId="7C4FA4C7">
            <w:pPr>
              <w:spacing w:before="0" w:after="0" w:line="240" w:lineRule="auto"/>
              <w:jc w:val="center"/>
            </w:pPr>
            <w:r>
              <w:rPr>
                <w:rFonts w:ascii="Times New Roman" w:hAnsi="Times New Roman" w:eastAsia="Times New Roman" w:cs="Times New Roman"/>
                <w:b w:val="0"/>
                <w:sz w:val="14"/>
              </w:rPr>
              <w:t>236.72–1082.85</w:t>
            </w:r>
          </w:p>
        </w:tc>
        <w:tc>
          <w:tcPr>
            <w:tcW w:w="987" w:type="dxa"/>
            <w:vAlign w:val="center"/>
          </w:tcPr>
          <w:p w14:paraId="3018D285">
            <w:pPr>
              <w:spacing w:before="0" w:after="0" w:line="240" w:lineRule="auto"/>
              <w:jc w:val="center"/>
            </w:pPr>
            <w:r>
              <w:rPr>
                <w:rFonts w:ascii="Times New Roman" w:hAnsi="Times New Roman" w:eastAsia="Times New Roman" w:cs="Times New Roman"/>
                <w:b w:val="0"/>
                <w:sz w:val="14"/>
              </w:rPr>
              <w:t>996.67 ± 782.33</w:t>
            </w:r>
          </w:p>
        </w:tc>
        <w:tc>
          <w:tcPr>
            <w:tcW w:w="987" w:type="dxa"/>
            <w:vAlign w:val="center"/>
          </w:tcPr>
          <w:p w14:paraId="39D64B75">
            <w:pPr>
              <w:spacing w:before="0" w:after="0" w:line="240" w:lineRule="auto"/>
              <w:jc w:val="center"/>
            </w:pPr>
            <w:r>
              <w:rPr>
                <w:rFonts w:ascii="Times New Roman" w:hAnsi="Times New Roman" w:eastAsia="Times New Roman" w:cs="Times New Roman"/>
                <w:b w:val="0"/>
                <w:sz w:val="14"/>
              </w:rPr>
              <w:t>20.64 ± 13.59</w:t>
            </w:r>
          </w:p>
        </w:tc>
        <w:tc>
          <w:tcPr>
            <w:tcW w:w="987" w:type="dxa"/>
            <w:vAlign w:val="center"/>
          </w:tcPr>
          <w:p w14:paraId="097109F7">
            <w:pPr>
              <w:spacing w:before="0" w:after="0" w:line="240" w:lineRule="auto"/>
              <w:jc w:val="center"/>
            </w:pPr>
            <w:r>
              <w:rPr>
                <w:rFonts w:ascii="Times New Roman" w:hAnsi="Times New Roman" w:eastAsia="Times New Roman" w:cs="Times New Roman"/>
                <w:b w:val="0"/>
                <w:sz w:val="14"/>
              </w:rPr>
              <w:t>6.24–33.24</w:t>
            </w:r>
          </w:p>
        </w:tc>
        <w:tc>
          <w:tcPr>
            <w:tcW w:w="987" w:type="dxa"/>
            <w:vAlign w:val="center"/>
          </w:tcPr>
          <w:p w14:paraId="00261887">
            <w:pPr>
              <w:spacing w:before="0" w:after="0" w:line="240" w:lineRule="auto"/>
              <w:jc w:val="center"/>
            </w:pPr>
            <w:r>
              <w:rPr>
                <w:rFonts w:ascii="Times New Roman" w:hAnsi="Times New Roman" w:eastAsia="Times New Roman" w:cs="Times New Roman"/>
                <w:b w:val="0"/>
                <w:sz w:val="14"/>
              </w:rPr>
              <w:t>0.110 ± 0.096</w:t>
            </w:r>
          </w:p>
        </w:tc>
        <w:tc>
          <w:tcPr>
            <w:tcW w:w="987" w:type="dxa"/>
            <w:vAlign w:val="center"/>
          </w:tcPr>
          <w:p w14:paraId="4671502C">
            <w:pPr>
              <w:spacing w:before="0" w:after="0" w:line="240" w:lineRule="auto"/>
              <w:jc w:val="center"/>
            </w:pPr>
            <w:r>
              <w:rPr>
                <w:rFonts w:ascii="Times New Roman" w:hAnsi="Times New Roman" w:eastAsia="Times New Roman" w:cs="Times New Roman"/>
                <w:b w:val="0"/>
                <w:sz w:val="14"/>
              </w:rPr>
              <w:t>0.00046144 ± 0.00029170</w:t>
            </w:r>
          </w:p>
        </w:tc>
      </w:tr>
      <w:tr w14:paraId="253C50F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987" w:type="dxa"/>
            <w:shd w:val="clear" w:color="auto" w:fill="F7F7F7"/>
            <w:vAlign w:val="center"/>
          </w:tcPr>
          <w:p w14:paraId="688ED4D8">
            <w:pPr>
              <w:spacing w:before="0" w:after="0" w:line="240" w:lineRule="auto"/>
              <w:jc w:val="left"/>
            </w:pPr>
            <w:r>
              <w:rPr>
                <w:rFonts w:ascii="Times New Roman" w:hAnsi="Times New Roman" w:eastAsia="Times New Roman" w:cs="Times New Roman"/>
                <w:b w:val="0"/>
                <w:sz w:val="14"/>
              </w:rPr>
              <w:t>W06</w:t>
            </w:r>
          </w:p>
        </w:tc>
        <w:tc>
          <w:tcPr>
            <w:tcW w:w="987" w:type="dxa"/>
            <w:shd w:val="clear" w:color="auto" w:fill="F7F7F7"/>
            <w:vAlign w:val="center"/>
          </w:tcPr>
          <w:p w14:paraId="21F2A55D">
            <w:pPr>
              <w:spacing w:before="0" w:after="0" w:line="240" w:lineRule="auto"/>
              <w:jc w:val="left"/>
            </w:pPr>
            <w:r>
              <w:rPr>
                <w:rFonts w:ascii="Times New Roman" w:hAnsi="Times New Roman" w:eastAsia="Times New Roman" w:cs="Times New Roman"/>
                <w:b w:val="0"/>
                <w:sz w:val="14"/>
              </w:rPr>
              <w:t>Serverless</w:t>
            </w:r>
          </w:p>
        </w:tc>
        <w:tc>
          <w:tcPr>
            <w:tcW w:w="987" w:type="dxa"/>
            <w:shd w:val="clear" w:color="auto" w:fill="F7F7F7"/>
            <w:vAlign w:val="center"/>
          </w:tcPr>
          <w:p w14:paraId="4DB1D8F6">
            <w:pPr>
              <w:spacing w:before="0" w:after="0" w:line="240" w:lineRule="auto"/>
              <w:jc w:val="center"/>
            </w:pPr>
            <w:r>
              <w:rPr>
                <w:rFonts w:ascii="Times New Roman" w:hAnsi="Times New Roman" w:eastAsia="Times New Roman" w:cs="Times New Roman"/>
                <w:b w:val="0"/>
                <w:sz w:val="14"/>
              </w:rPr>
              <w:t>3</w:t>
            </w:r>
          </w:p>
        </w:tc>
        <w:tc>
          <w:tcPr>
            <w:tcW w:w="987" w:type="dxa"/>
            <w:shd w:val="clear" w:color="auto" w:fill="F7F7F7"/>
            <w:vAlign w:val="center"/>
          </w:tcPr>
          <w:p w14:paraId="32B525A1">
            <w:pPr>
              <w:spacing w:before="0" w:after="0" w:line="240" w:lineRule="auto"/>
              <w:jc w:val="center"/>
            </w:pPr>
            <w:r>
              <w:rPr>
                <w:rFonts w:ascii="Times New Roman" w:hAnsi="Times New Roman" w:eastAsia="Times New Roman" w:cs="Times New Roman"/>
                <w:b w:val="0"/>
                <w:sz w:val="14"/>
              </w:rPr>
              <w:t>544.83 ± 250.63</w:t>
            </w:r>
          </w:p>
        </w:tc>
        <w:tc>
          <w:tcPr>
            <w:tcW w:w="987" w:type="dxa"/>
            <w:shd w:val="clear" w:color="auto" w:fill="F7F7F7"/>
            <w:vAlign w:val="center"/>
          </w:tcPr>
          <w:p w14:paraId="41058F58">
            <w:pPr>
              <w:spacing w:before="0" w:after="0" w:line="240" w:lineRule="auto"/>
              <w:jc w:val="center"/>
            </w:pPr>
            <w:r>
              <w:rPr>
                <w:rFonts w:ascii="Times New Roman" w:hAnsi="Times New Roman" w:eastAsia="Times New Roman" w:cs="Times New Roman"/>
                <w:b w:val="0"/>
                <w:sz w:val="14"/>
              </w:rPr>
              <w:t>307.47–806.90</w:t>
            </w:r>
          </w:p>
        </w:tc>
        <w:tc>
          <w:tcPr>
            <w:tcW w:w="987" w:type="dxa"/>
            <w:shd w:val="clear" w:color="auto" w:fill="F7F7F7"/>
            <w:vAlign w:val="center"/>
          </w:tcPr>
          <w:p w14:paraId="33916FF9">
            <w:pPr>
              <w:spacing w:before="0" w:after="0" w:line="240" w:lineRule="auto"/>
              <w:jc w:val="center"/>
            </w:pPr>
            <w:r>
              <w:rPr>
                <w:rFonts w:ascii="Times New Roman" w:hAnsi="Times New Roman" w:eastAsia="Times New Roman" w:cs="Times New Roman"/>
                <w:b w:val="0"/>
                <w:sz w:val="14"/>
              </w:rPr>
              <w:t>1566.67 ± 503.32</w:t>
            </w:r>
          </w:p>
        </w:tc>
        <w:tc>
          <w:tcPr>
            <w:tcW w:w="987" w:type="dxa"/>
            <w:shd w:val="clear" w:color="auto" w:fill="F7F7F7"/>
            <w:vAlign w:val="center"/>
          </w:tcPr>
          <w:p w14:paraId="22243586">
            <w:pPr>
              <w:spacing w:before="0" w:after="0" w:line="240" w:lineRule="auto"/>
              <w:jc w:val="center"/>
            </w:pPr>
            <w:r>
              <w:rPr>
                <w:rFonts w:ascii="Times New Roman" w:hAnsi="Times New Roman" w:eastAsia="Times New Roman" w:cs="Times New Roman"/>
                <w:b w:val="0"/>
                <w:sz w:val="14"/>
              </w:rPr>
              <w:t>21.84 ± 8.49</w:t>
            </w:r>
          </w:p>
        </w:tc>
        <w:tc>
          <w:tcPr>
            <w:tcW w:w="987" w:type="dxa"/>
            <w:shd w:val="clear" w:color="auto" w:fill="F7F7F7"/>
            <w:vAlign w:val="center"/>
          </w:tcPr>
          <w:p w14:paraId="3A8EF86D">
            <w:pPr>
              <w:spacing w:before="0" w:after="0" w:line="240" w:lineRule="auto"/>
              <w:jc w:val="center"/>
            </w:pPr>
            <w:r>
              <w:rPr>
                <w:rFonts w:ascii="Times New Roman" w:hAnsi="Times New Roman" w:eastAsia="Times New Roman" w:cs="Times New Roman"/>
                <w:b w:val="0"/>
                <w:sz w:val="14"/>
              </w:rPr>
              <w:t>12.97–29.89</w:t>
            </w:r>
          </w:p>
        </w:tc>
        <w:tc>
          <w:tcPr>
            <w:tcW w:w="987" w:type="dxa"/>
            <w:shd w:val="clear" w:color="auto" w:fill="F7F7F7"/>
            <w:vAlign w:val="center"/>
          </w:tcPr>
          <w:p w14:paraId="58A35935">
            <w:pPr>
              <w:spacing w:before="0" w:after="0" w:line="240" w:lineRule="auto"/>
              <w:jc w:val="center"/>
            </w:pPr>
            <w:r>
              <w:rPr>
                <w:rFonts w:ascii="Times New Roman" w:hAnsi="Times New Roman" w:eastAsia="Times New Roman" w:cs="Times New Roman"/>
                <w:b w:val="0"/>
                <w:sz w:val="14"/>
              </w:rPr>
              <w:t>1.354 ± 1.024</w:t>
            </w:r>
          </w:p>
        </w:tc>
        <w:tc>
          <w:tcPr>
            <w:tcW w:w="987" w:type="dxa"/>
            <w:shd w:val="clear" w:color="auto" w:fill="F7F7F7"/>
            <w:vAlign w:val="center"/>
          </w:tcPr>
          <w:p w14:paraId="66ADD69F">
            <w:pPr>
              <w:spacing w:before="0" w:after="0" w:line="240" w:lineRule="auto"/>
              <w:jc w:val="center"/>
            </w:pPr>
            <w:r>
              <w:rPr>
                <w:rFonts w:ascii="Times New Roman" w:hAnsi="Times New Roman" w:eastAsia="Times New Roman" w:cs="Times New Roman"/>
                <w:b w:val="0"/>
                <w:sz w:val="14"/>
              </w:rPr>
              <w:t>0.00169234 ± 0.00005061</w:t>
            </w:r>
          </w:p>
        </w:tc>
      </w:tr>
    </w:tbl>
    <w:p w14:paraId="0224CE81">
      <w:pPr>
        <w:spacing w:before="40" w:after="120"/>
      </w:pPr>
      <w:r>
        <w:rPr>
          <w:rFonts w:ascii="Times New Roman" w:hAnsi="Times New Roman" w:eastAsia="Times New Roman" w:cs="Times New Roman"/>
          <w:i/>
          <w:sz w:val="18"/>
        </w:rPr>
        <w:t>Note: SD is sample standard deviation across n=3 trials. These descriptive statistics are not significance tests.</w:t>
      </w:r>
    </w:p>
    <w:p w14:paraId="2DC8F5C6">
      <w:pPr>
        <w:spacing w:after="80" w:line="252" w:lineRule="auto"/>
        <w:ind w:firstLine="238"/>
        <w:jc w:val="both"/>
      </w:pPr>
      <w:r>
        <w:rPr>
          <w:rFonts w:ascii="Times New Roman" w:hAnsi="Times New Roman" w:eastAsia="Times New Roman" w:cs="Times New Roman"/>
          <w:sz w:val="20"/>
        </w:rPr>
        <w:t>Several workload/architecture pairs show substantial variation across the three runs, which is why Table 6 is important to the interpretation. With n=3, the reported differences should be read as measurements from this controlled experiment rather than as precise population-level effects.</w:t>
      </w:r>
    </w:p>
    <w:p w14:paraId="122C6641">
      <w:pPr>
        <w:pStyle w:val="2"/>
      </w:pPr>
      <w:r>
        <w:rPr>
          <w:rFonts w:ascii="Times New Roman" w:hAnsi="Times New Roman" w:eastAsia="Times New Roman" w:cs="Times New Roman"/>
          <w:sz w:val="22"/>
        </w:rPr>
        <w:t>6. Discussion</w:t>
      </w:r>
    </w:p>
    <w:p w14:paraId="3FCBC22C">
      <w:pPr>
        <w:pStyle w:val="3"/>
      </w:pPr>
      <w:r>
        <w:rPr>
          <w:rFonts w:ascii="Times New Roman" w:hAnsi="Times New Roman" w:eastAsia="Times New Roman" w:cs="Times New Roman"/>
          <w:sz w:val="22"/>
        </w:rPr>
        <w:t>6.1 Workload-Dependent Performance</w:t>
      </w:r>
    </w:p>
    <w:p w14:paraId="0608D69F">
      <w:pPr>
        <w:spacing w:after="80" w:line="252" w:lineRule="auto"/>
        <w:ind w:firstLine="238"/>
        <w:jc w:val="both"/>
      </w:pPr>
      <w:r>
        <w:rPr>
          <w:rFonts w:ascii="Times New Roman" w:hAnsi="Times New Roman" w:eastAsia="Times New Roman" w:cs="Times New Roman"/>
          <w:sz w:val="20"/>
        </w:rPr>
        <w:t>The main finding is that the preferred architecture changed with workload shape. At W01, both systems handled the light workload with similar throughput, so cost became the clearest differentiator. At higher loads, Serverless often improved one or more latency measures, especially in the sudden-burst and idle-to-burst profiles. Those gains did not consistently extend to reliability or cost. The W03 and W06 results are particularly useful because they show that elasticity does not guarantee better throughput, tail latency, or failure behavior in every condition.</w:t>
      </w:r>
    </w:p>
    <w:p w14:paraId="7971EA29">
      <w:pPr>
        <w:spacing w:after="80" w:line="252" w:lineRule="auto"/>
        <w:ind w:firstLine="238"/>
        <w:jc w:val="both"/>
      </w:pPr>
      <w:r>
        <w:rPr>
          <w:rFonts w:ascii="Times New Roman" w:hAnsi="Times New Roman" w:eastAsia="Times New Roman" w:cs="Times New Roman"/>
          <w:sz w:val="20"/>
        </w:rPr>
        <w:t>The sustained workload makes this point especially clear. Serverless was 4.8% lower on mean latency and 5.8% higher on throughput relative to EC2, yet its P95 latency was 57.2% higher and its mean failure rate was 1.354% compared with 0.110% on EC2. Looking only at the average would therefore give an incomplete account of the behavior observed in W06.</w:t>
      </w:r>
    </w:p>
    <w:p w14:paraId="5AA4FBB8">
      <w:pPr>
        <w:pStyle w:val="3"/>
      </w:pPr>
      <w:r>
        <w:rPr>
          <w:rFonts w:ascii="Times New Roman" w:hAnsi="Times New Roman" w:eastAsia="Times New Roman" w:cs="Times New Roman"/>
          <w:sz w:val="22"/>
        </w:rPr>
        <w:t>6.2 Resource and Scaling Behavior</w:t>
      </w:r>
    </w:p>
    <w:p w14:paraId="168DA117">
      <w:pPr>
        <w:spacing w:before="80" w:after="40"/>
        <w:jc w:val="center"/>
      </w:pPr>
      <w:r>
        <w:rPr>
          <w:rFonts w:ascii="Times New Roman" w:hAnsi="Times New Roman" w:eastAsia="Times New Roman" w:cs="Times New Roman"/>
        </w:rPr>
        <w:drawing>
          <wp:inline distT="0" distB="0" distL="114300" distR="114300">
            <wp:extent cx="5532120" cy="2579370"/>
            <wp:effectExtent l="0" t="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32120" cy="2579930"/>
                    </a:xfrm>
                    <a:prstGeom prst="rect">
                      <a:avLst/>
                    </a:prstGeom>
                  </pic:spPr>
                </pic:pic>
              </a:graphicData>
            </a:graphic>
          </wp:inline>
        </w:drawing>
      </w:r>
    </w:p>
    <w:p w14:paraId="75778FF0">
      <w:pPr>
        <w:spacing w:after="120"/>
        <w:jc w:val="center"/>
      </w:pPr>
      <w:r>
        <w:rPr>
          <w:rFonts w:ascii="Times New Roman" w:hAnsi="Times New Roman" w:eastAsia="Times New Roman" w:cs="Times New Roman"/>
          <w:i/>
          <w:sz w:val="18"/>
        </w:rPr>
        <w:t>Figure 7. EC2 resource behavior and Lambda scaling behavior across formal workloads.</w:t>
      </w:r>
    </w:p>
    <w:p w14:paraId="0034124C">
      <w:pPr>
        <w:spacing w:after="80" w:line="252" w:lineRule="auto"/>
        <w:ind w:firstLine="238"/>
        <w:jc w:val="both"/>
      </w:pPr>
      <w:r>
        <w:rPr>
          <w:rFonts w:ascii="Times New Roman" w:hAnsi="Times New Roman" w:eastAsia="Times New Roman" w:cs="Times New Roman"/>
          <w:sz w:val="20"/>
        </w:rPr>
        <w:t>EC2 CPU utilization and Lambda concurrency describe different things and are shown separately in Figure 7. The EC2 panel indicates how the selected t3.small consumed its provisioned CPU capacity, while the Lambda panel shows the peak number of concurrent function executions. Peak Lambda concurrency reached the experimental quota value of 10 in W02, W03, W04, W05, and W06. The same five workloads also recorded nonzero Lambda throttles.</w:t>
      </w:r>
    </w:p>
    <w:p w14:paraId="01948083">
      <w:pPr>
        <w:spacing w:after="80" w:line="252" w:lineRule="auto"/>
        <w:ind w:firstLine="238"/>
        <w:jc w:val="both"/>
      </w:pPr>
      <w:r>
        <w:rPr>
          <w:rFonts w:ascii="Times New Roman" w:hAnsi="Times New Roman" w:eastAsia="Times New Roman" w:cs="Times New Roman"/>
          <w:sz w:val="20"/>
        </w:rPr>
        <w:t>When a workload reached concurrency 10 and CloudWatch also recorded throttling, the observed degradation is consistent with exhaustion of the account's available concurrency. Failures that occurred without that combination are not automatically attributed to the quota. Keeping those cases separate is important because the account limit was an environmental constraint, not a property of Lambda as a service.</w:t>
      </w:r>
    </w:p>
    <w:p w14:paraId="641D8BF7">
      <w:pPr>
        <w:spacing w:after="80" w:line="252" w:lineRule="auto"/>
        <w:ind w:firstLine="238"/>
        <w:jc w:val="both"/>
      </w:pPr>
      <w:r>
        <w:rPr>
          <w:rFonts w:ascii="Times New Roman" w:hAnsi="Times New Roman" w:eastAsia="Times New Roman" w:cs="Times New Roman"/>
          <w:sz w:val="20"/>
        </w:rPr>
        <w:t>AWS documentation describes a default regional account concurrency limit of 1,000 concurrent executions, although quotas can vary by account and circumstances, and functions can be throttled when the available pool is exhausted [10]. The value of 10 observed in this experiment was therefore unusually restrictive. It materially limits how far the higher-concurrency serverless results can be generalized.</w:t>
      </w:r>
    </w:p>
    <w:p w14:paraId="676A5A2E">
      <w:pPr>
        <w:pStyle w:val="3"/>
      </w:pPr>
      <w:r>
        <w:rPr>
          <w:rFonts w:ascii="Times New Roman" w:hAnsi="Times New Roman" w:eastAsia="Times New Roman" w:cs="Times New Roman"/>
          <w:sz w:val="22"/>
        </w:rPr>
        <w:t>6.3 Reliability Trade-offs</w:t>
      </w:r>
    </w:p>
    <w:p w14:paraId="582823D3">
      <w:pPr>
        <w:spacing w:after="80" w:line="252" w:lineRule="auto"/>
        <w:ind w:firstLine="238"/>
        <w:jc w:val="both"/>
      </w:pPr>
      <w:r>
        <w:rPr>
          <w:rFonts w:ascii="Times New Roman" w:hAnsi="Times New Roman" w:eastAsia="Times New Roman" w:cs="Times New Roman"/>
          <w:sz w:val="20"/>
        </w:rPr>
        <w:t>EC2 was generally the more reliable architecture in the formal runs, particularly as the workload became heavier. Request failures were not removed as “bad runs”; when the instrumentation itself was valid, those failures remained part of the measured outcome. The runner distinguished application/HTTP failures from instrumentation problems so that nonzero failure rates were preserved rather than cleaned away.</w:t>
      </w:r>
    </w:p>
    <w:p w14:paraId="34514924">
      <w:pPr>
        <w:spacing w:after="80" w:line="252" w:lineRule="auto"/>
        <w:ind w:firstLine="238"/>
        <w:jc w:val="both"/>
      </w:pPr>
      <w:r>
        <w:rPr>
          <w:rFonts w:ascii="Times New Roman" w:hAnsi="Times New Roman" w:eastAsia="Times New Roman" w:cs="Times New Roman"/>
          <w:sz w:val="20"/>
        </w:rPr>
        <w:t>For Serverless, the reliability result covers the complete HTTP path through API Gateway and Lambda, not only successful handler executions. API Gateway 5XX responses, Lambda throttles, and Lambda errors are therefore retained as separate fields in the dataset. This avoids treating every 5XX response as if it were necessarily caused by application code inside the Lambda function.</w:t>
      </w:r>
    </w:p>
    <w:p w14:paraId="76B58449">
      <w:pPr>
        <w:pStyle w:val="3"/>
      </w:pPr>
      <w:r>
        <w:rPr>
          <w:rFonts w:ascii="Times New Roman" w:hAnsi="Times New Roman" w:eastAsia="Times New Roman" w:cs="Times New Roman"/>
          <w:sz w:val="22"/>
        </w:rPr>
        <w:t>6.4 Cost Trade-offs</w:t>
      </w:r>
    </w:p>
    <w:p w14:paraId="327E592F">
      <w:pPr>
        <w:spacing w:after="80" w:line="252" w:lineRule="auto"/>
        <w:ind w:firstLine="238"/>
        <w:jc w:val="both"/>
      </w:pPr>
      <w:r>
        <w:rPr>
          <w:rFonts w:ascii="Times New Roman" w:hAnsi="Times New Roman" w:eastAsia="Times New Roman" w:cs="Times New Roman"/>
          <w:sz w:val="20"/>
        </w:rPr>
        <w:t>The cost comparison reflects the basic difference between provisioned capacity and usage-based execution. During short periods of active load, the low-priced t3.small produced a very small normalized cost because the instance was already available and was kept busy by the test. The serverless path accumulated API Gateway request charges together with Lambda request and duration charges. W05 changed the picture because the EC2 instance remained allocated throughout the intentional idle interval, while Lambda compute did not.</w:t>
      </w:r>
    </w:p>
    <w:p w14:paraId="7DD7DE49">
      <w:pPr>
        <w:spacing w:after="80" w:line="252" w:lineRule="auto"/>
        <w:ind w:firstLine="238"/>
        <w:jc w:val="both"/>
      </w:pPr>
      <w:r>
        <w:rPr>
          <w:rFonts w:ascii="Times New Roman" w:hAnsi="Times New Roman" w:eastAsia="Times New Roman" w:cs="Times New Roman"/>
          <w:sz w:val="20"/>
        </w:rPr>
        <w:t>These values should not be read as a universal monthly cost forecast. Real applications differ in idle time, request rate, function duration, memory, data transfer, operational overhead, scaling policy, discounts, and reserved-capacity commitments. The result is narrower: under the fixed application and workload definitions used here, changing the idle/burst structure was enough to change the relative cost gap substantially.</w:t>
      </w:r>
    </w:p>
    <w:p w14:paraId="01D28DDD">
      <w:pPr>
        <w:pStyle w:val="3"/>
      </w:pPr>
      <w:r>
        <w:rPr>
          <w:rFonts w:ascii="Times New Roman" w:hAnsi="Times New Roman" w:eastAsia="Times New Roman" w:cs="Times New Roman"/>
          <w:sz w:val="22"/>
        </w:rPr>
        <w:t>6.5 Answers to the Research Questions</w:t>
      </w:r>
    </w:p>
    <w:p w14:paraId="4C0742C2">
      <w:pPr>
        <w:spacing w:after="80" w:line="252" w:lineRule="auto"/>
        <w:ind w:firstLine="238"/>
        <w:jc w:val="both"/>
      </w:pPr>
      <w:r>
        <w:rPr>
          <w:rFonts w:ascii="Times New Roman" w:hAnsi="Times New Roman" w:eastAsia="Times New Roman" w:cs="Times New Roman"/>
          <w:sz w:val="20"/>
        </w:rPr>
        <w:t>RQ1 — Performance: Neither architecture was best across all workloads and metrics. Serverless often reduced latency in the burst-oriented profiles and sometimes increased achieved throughput, while EC2 remained competitive or better in other tail-latency conditions. W06 is the clearest example of mean latency and tail latency pointing in different directions.</w:t>
      </w:r>
    </w:p>
    <w:p w14:paraId="7C20BC14">
      <w:pPr>
        <w:spacing w:after="80" w:line="252" w:lineRule="auto"/>
        <w:ind w:firstLine="238"/>
        <w:jc w:val="both"/>
      </w:pPr>
      <w:r>
        <w:rPr>
          <w:rFonts w:ascii="Times New Roman" w:hAnsi="Times New Roman" w:eastAsia="Times New Roman" w:cs="Times New Roman"/>
          <w:sz w:val="20"/>
        </w:rPr>
        <w:t>RQ2 — Reliability and scaling: EC2 was generally more reliable in the formal trials. Serverless behavior at higher concurrency was influenced by the account-specific Lambda concurrency quota, so failures in those workloads need to be interpreted alongside ConcurrentExecutions and Throttles rather than generalized to an unrestricted Lambda account.</w:t>
      </w:r>
    </w:p>
    <w:p w14:paraId="10283B84">
      <w:pPr>
        <w:spacing w:after="80" w:line="252" w:lineRule="auto"/>
        <w:ind w:firstLine="238"/>
        <w:jc w:val="both"/>
      </w:pPr>
      <w:r>
        <w:rPr>
          <w:rFonts w:ascii="Times New Roman" w:hAnsi="Times New Roman" w:eastAsia="Times New Roman" w:cs="Times New Roman"/>
          <w:sz w:val="20"/>
        </w:rPr>
        <w:t>RQ3 — Cost: The tested EC2 setup usually had the lower estimated cost per 1,000 successful requests during actively loaded periods. The gap narrowed sharply in W05 because the EC2 instance remained provisioned during the 300-second idle interval while Lambda on-demand compute did not.</w:t>
      </w:r>
    </w:p>
    <w:p w14:paraId="73C9859D">
      <w:pPr>
        <w:spacing w:after="80" w:line="252" w:lineRule="auto"/>
        <w:ind w:firstLine="238"/>
        <w:jc w:val="both"/>
      </w:pPr>
      <w:r>
        <w:rPr>
          <w:rFonts w:ascii="Times New Roman" w:hAnsi="Times New Roman" w:eastAsia="Times New Roman" w:cs="Times New Roman"/>
          <w:sz w:val="20"/>
        </w:rPr>
        <w:t>RQ4 — Resource/account constraints: EC2 CPU utilization measures how much of a fixed provisioned resource was being consumed, whereas Lambda concurrency counts simultaneous function executions. They are complementary measurements, not quantities that can be compared on one numerical scale. The concurrency ceiling of 10 belongs to the experimental account and is treated as a threat to external validity rather than as a general Lambda limit.</w:t>
      </w:r>
    </w:p>
    <w:p w14:paraId="15C59FCF">
      <w:pPr>
        <w:pStyle w:val="2"/>
      </w:pPr>
      <w:r>
        <w:rPr>
          <w:rFonts w:ascii="Times New Roman" w:hAnsi="Times New Roman" w:eastAsia="Times New Roman" w:cs="Times New Roman"/>
          <w:sz w:val="22"/>
        </w:rPr>
        <w:t>7. Threats to Validity</w:t>
      </w:r>
    </w:p>
    <w:p w14:paraId="0D1E0803">
      <w:pPr>
        <w:pStyle w:val="3"/>
      </w:pPr>
      <w:r>
        <w:rPr>
          <w:rFonts w:ascii="Times New Roman" w:hAnsi="Times New Roman" w:eastAsia="Times New Roman" w:cs="Times New Roman"/>
          <w:sz w:val="22"/>
        </w:rPr>
        <w:t>7.1 Internal Validity</w:t>
      </w:r>
    </w:p>
    <w:p w14:paraId="4F67D8E0">
      <w:pPr>
        <w:spacing w:after="80" w:line="252" w:lineRule="auto"/>
        <w:ind w:firstLine="238"/>
        <w:jc w:val="both"/>
      </w:pPr>
      <w:r>
        <w:rPr>
          <w:rFonts w:ascii="Times New Roman" w:hAnsi="Times New Roman" w:eastAsia="Times New Roman" w:cs="Times New Roman"/>
          <w:sz w:val="20"/>
        </w:rPr>
        <w:t>Cloud experiments inevitably contain background variability. Shared infrastructure, network conditions, provider scheduling, execution-environment reuse, and VM placement can influence individual runs. Repeating each condition three times and reporting sample standard deviations reduces the dependence on a single observation, but it does not remove this variability.</w:t>
      </w:r>
    </w:p>
    <w:p w14:paraId="3A7F968A">
      <w:pPr>
        <w:spacing w:after="80" w:line="252" w:lineRule="auto"/>
        <w:ind w:firstLine="238"/>
        <w:jc w:val="both"/>
      </w:pPr>
      <w:r>
        <w:rPr>
          <w:rFonts w:ascii="Times New Roman" w:hAnsi="Times New Roman" w:eastAsia="Times New Roman" w:cs="Times New Roman"/>
          <w:sz w:val="20"/>
        </w:rPr>
        <w:t>The EC2 system also used a T3 burstable instance. CPU-credit state can affect performance, and T3 Unlimited mode can allow the instance to run above its baseline and may introduce surplus-credit charges under prolonged utilization [14]. CPU utilization was monitored, but the results are not presented as representative of fixed-performance EC2 instance families.</w:t>
      </w:r>
    </w:p>
    <w:p w14:paraId="44D2FF03">
      <w:pPr>
        <w:spacing w:after="80" w:line="252" w:lineRule="auto"/>
        <w:ind w:firstLine="238"/>
        <w:jc w:val="both"/>
      </w:pPr>
      <w:r>
        <w:rPr>
          <w:rFonts w:ascii="Times New Roman" w:hAnsi="Times New Roman" w:eastAsia="Times New Roman" w:cs="Times New Roman"/>
          <w:sz w:val="20"/>
        </w:rPr>
        <w:t>CloudWatch provides infrastructure-level context rather than request-level causality in this experiment. Metrics were extracted as one-minute datapoints for the requested UTC windows, so a CloudWatch average cannot be matched precisely to a particular Locust request at millisecond resolution.</w:t>
      </w:r>
    </w:p>
    <w:p w14:paraId="09216CCD">
      <w:pPr>
        <w:spacing w:after="80" w:line="252" w:lineRule="auto"/>
        <w:ind w:firstLine="238"/>
        <w:jc w:val="both"/>
      </w:pPr>
      <w:r>
        <w:rPr>
          <w:rFonts w:ascii="Times New Roman" w:hAnsi="Times New Roman" w:eastAsia="Times New Roman" w:cs="Times New Roman"/>
          <w:sz w:val="20"/>
        </w:rPr>
        <w:t>All formal trials came from a single load-generator environment. A pre-formal check did not show obvious client CPU saturation, but the network path and client-side scheduling can still contribute to run-to-run variation.</w:t>
      </w:r>
    </w:p>
    <w:p w14:paraId="78248B8F">
      <w:pPr>
        <w:pStyle w:val="3"/>
      </w:pPr>
      <w:r>
        <w:rPr>
          <w:rFonts w:ascii="Times New Roman" w:hAnsi="Times New Roman" w:eastAsia="Times New Roman" w:cs="Times New Roman"/>
          <w:sz w:val="22"/>
        </w:rPr>
        <w:t>7.2 External Validity</w:t>
      </w:r>
    </w:p>
    <w:p w14:paraId="0BAAD755">
      <w:pPr>
        <w:spacing w:after="80" w:line="252" w:lineRule="auto"/>
        <w:ind w:firstLine="238"/>
        <w:jc w:val="both"/>
      </w:pPr>
      <w:r>
        <w:rPr>
          <w:rFonts w:ascii="Times New Roman" w:hAnsi="Times New Roman" w:eastAsia="Times New Roman" w:cs="Times New Roman"/>
          <w:sz w:val="20"/>
        </w:rPr>
        <w:t>The experiment covers one AWS Region (ap-south-1), one EC2 type (t3.small), one Lambda memory setting (1024 MB), one Lambda architecture (x86_64), one API type (HTTP API), and one deterministic CPU-bound application. I/O-bound services, databases, larger payloads, other EC2 families, Graviton/ARM, different Lambda memory allocations, provisioned or reserved concurrency, and other Regions may produce different results.</w:t>
      </w:r>
    </w:p>
    <w:p w14:paraId="2DCF6746">
      <w:pPr>
        <w:spacing w:after="80" w:line="252" w:lineRule="auto"/>
        <w:ind w:firstLine="238"/>
        <w:jc w:val="both"/>
      </w:pPr>
      <w:r>
        <w:rPr>
          <w:rFonts w:ascii="Times New Roman" w:hAnsi="Times New Roman" w:eastAsia="Times New Roman" w:cs="Times New Roman"/>
          <w:sz w:val="20"/>
        </w:rPr>
        <w:t>The absolute concurrency in this study is modest compared with many production systems. Large applications may also use caches, CDNs, queues, asynchronous processing, Auto Scaling groups, load balancers, reserved capacity, or multi-region routing. The results should therefore be read as a controlled case study rather than as a benchmark of the maximum capacity of either AWS service.</w:t>
      </w:r>
    </w:p>
    <w:p w14:paraId="727D06A3">
      <w:pPr>
        <w:pStyle w:val="3"/>
      </w:pPr>
      <w:r>
        <w:rPr>
          <w:rFonts w:ascii="Times New Roman" w:hAnsi="Times New Roman" w:eastAsia="Times New Roman" w:cs="Times New Roman"/>
          <w:sz w:val="22"/>
        </w:rPr>
        <w:t>7.3 Construct Validity</w:t>
      </w:r>
    </w:p>
    <w:p w14:paraId="10B0B3CD">
      <w:pPr>
        <w:spacing w:after="80" w:line="252" w:lineRule="auto"/>
        <w:ind w:firstLine="238"/>
        <w:jc w:val="both"/>
      </w:pPr>
      <w:r>
        <w:rPr>
          <w:rFonts w:ascii="Times New Roman" w:hAnsi="Times New Roman" w:eastAsia="Times New Roman" w:cs="Times New Roman"/>
          <w:sz w:val="20"/>
        </w:rPr>
        <w:t>Locust was configured as a closed-loop user model. Because faster responses allow the same virtual users to issue their next requests sooner, requests_per_second represents achieved throughput under the common concurrency pattern; it is not a fixed offered arrival rate.</w:t>
      </w:r>
    </w:p>
    <w:p w14:paraId="13C38D4C">
      <w:pPr>
        <w:spacing w:after="80" w:line="252" w:lineRule="auto"/>
        <w:ind w:firstLine="238"/>
        <w:jc w:val="both"/>
      </w:pPr>
      <w:r>
        <w:rPr>
          <w:rFonts w:ascii="Times New Roman" w:hAnsi="Times New Roman" w:eastAsia="Times New Roman" w:cs="Times New Roman"/>
          <w:sz w:val="20"/>
        </w:rPr>
        <w:t>W05 includes a 300-second idle interval, but AWS does not guarantee that a Lambda execution environment will be discarded after any fixed period. Execution environments may be retained and reused [11]. The workload is therefore described as idle-to-burst and not as proof of a cold start.</w:t>
      </w:r>
    </w:p>
    <w:p w14:paraId="5950316C">
      <w:pPr>
        <w:spacing w:after="80" w:line="252" w:lineRule="auto"/>
        <w:ind w:firstLine="238"/>
        <w:jc w:val="both"/>
      </w:pPr>
      <w:r>
        <w:rPr>
          <w:rFonts w:ascii="Times New Roman" w:hAnsi="Times New Roman" w:eastAsia="Times New Roman" w:cs="Times New Roman"/>
          <w:sz w:val="20"/>
        </w:rPr>
        <w:t>The cost model has a similar limitation. Lambda GB-second cost is estimated from aggregate invocation count, average CloudWatch Duration, configured memory, and the regional list price. Exact invoice-level billed duration can differ, so the paper reports estimated rather than actual per-trial cost.</w:t>
      </w:r>
    </w:p>
    <w:p w14:paraId="23F59A5F">
      <w:pPr>
        <w:pStyle w:val="3"/>
      </w:pPr>
      <w:r>
        <w:rPr>
          <w:rFonts w:ascii="Times New Roman" w:hAnsi="Times New Roman" w:eastAsia="Times New Roman" w:cs="Times New Roman"/>
          <w:sz w:val="22"/>
        </w:rPr>
        <w:t>7.4 AWS Account Concurrency Limitation</w:t>
      </w:r>
    </w:p>
    <w:p w14:paraId="5F3987CA">
      <w:pPr>
        <w:spacing w:after="80" w:line="252" w:lineRule="auto"/>
        <w:ind w:firstLine="238"/>
        <w:jc w:val="both"/>
      </w:pPr>
      <w:r>
        <w:rPr>
          <w:rFonts w:ascii="Times New Roman" w:hAnsi="Times New Roman" w:eastAsia="Times New Roman" w:cs="Times New Roman"/>
          <w:sz w:val="20"/>
        </w:rPr>
        <w:t>The most important serverless-specific constraint in the experiment was the observed regional Lambda concurrency quota of 10. During pilot calibration, the original 50-user sudden burst reached that ceiling and produced throttling together with HTTP 503 responses. The formal burst was reduced, but several higher-load formal conditions could still approach the same account limit.</w:t>
      </w:r>
    </w:p>
    <w:p w14:paraId="39A4519A">
      <w:pPr>
        <w:spacing w:after="80" w:line="252" w:lineRule="auto"/>
        <w:ind w:firstLine="238"/>
        <w:jc w:val="both"/>
      </w:pPr>
      <w:r>
        <w:rPr>
          <w:rFonts w:ascii="Times New Roman" w:hAnsi="Times New Roman" w:eastAsia="Times New Roman" w:cs="Times New Roman"/>
          <w:sz w:val="20"/>
        </w:rPr>
        <w:t>This should not be read as evidence that “AWS Lambda scales to only 10 concurrent requests.” AWS documents a much larger default regional concurrency pool and supports quota management; functions are throttled when the available concurrency is exhausted [10]. The high-concurrency serverless results in this paper therefore describe Lambda under this particular account constraint, not the unconstrained scaling ceiling of the service.</w:t>
      </w:r>
    </w:p>
    <w:p w14:paraId="2CD02126">
      <w:pPr>
        <w:pStyle w:val="2"/>
      </w:pPr>
      <w:r>
        <w:rPr>
          <w:rFonts w:ascii="Times New Roman" w:hAnsi="Times New Roman" w:eastAsia="Times New Roman" w:cs="Times New Roman"/>
          <w:sz w:val="22"/>
        </w:rPr>
        <w:t>8. Reproducibility and Data Availability</w:t>
      </w:r>
    </w:p>
    <w:p w14:paraId="6DD53D41">
      <w:pPr>
        <w:spacing w:after="80" w:line="252" w:lineRule="auto"/>
        <w:ind w:firstLine="238"/>
        <w:jc w:val="both"/>
      </w:pPr>
      <w:r>
        <w:rPr>
          <w:rFonts w:ascii="Times New Roman" w:hAnsi="Times New Roman" w:eastAsia="Times New Roman" w:cs="Times New Roman"/>
          <w:sz w:val="20"/>
        </w:rPr>
        <w:t>The study was built as a reproducible infrastructure-and-analysis workflow. Terraform provisioned the EC2 and Serverless environments, and a shared Locust workload file generated requests against /compute. Each trial recorded its architecture, workload, trial number, UTC timing, application commit, and Terraform commit. Raw Locust outputs, CloudWatch query results, processed datasets, cost calculations, statistical summaries, tables, and figures were generated through scripts rather than by manually copying values into the paper.</w:t>
      </w:r>
    </w:p>
    <w:p w14:paraId="650E0DD0">
      <w:pPr>
        <w:spacing w:after="80" w:line="252" w:lineRule="auto"/>
        <w:ind w:firstLine="238"/>
        <w:jc w:val="both"/>
      </w:pPr>
      <w:r>
        <w:rPr>
          <w:rFonts w:ascii="Times New Roman" w:hAnsi="Times New Roman" w:eastAsia="Times New Roman" w:cs="Times New Roman"/>
          <w:sz w:val="20"/>
        </w:rPr>
        <w:t>The processed dataset and non-sensitive reproducibility materials are included with the preprint as supplementary material. The complete research repository remains private because it also contains account-specific logs and security-sensitive configuration. Additional non-sensitive supporting material can be shared by the corresponding author on reasonable request.</w:t>
      </w:r>
    </w:p>
    <w:p w14:paraId="0B736467">
      <w:pPr>
        <w:spacing w:after="80" w:line="252" w:lineRule="auto"/>
        <w:ind w:firstLine="238"/>
        <w:jc w:val="both"/>
      </w:pPr>
      <w:r>
        <w:rPr>
          <w:rFonts w:ascii="Times New Roman" w:hAnsi="Times New Roman" w:eastAsia="Times New Roman" w:cs="Times New Roman"/>
          <w:sz w:val="20"/>
        </w:rPr>
        <w:t>The main dataset is data/final/experiments.csv, containing 36 rows and 44 columns. Supporting artifacts include workload/architecture summaries, architecture comparisons, the pricing snapshot, cost breakdowns, generated tables and figures, and SHA-256 manifests. Pilot calibration material is kept separate and is not included in the formal result graphs.</w:t>
      </w:r>
    </w:p>
    <w:p w14:paraId="679678E1">
      <w:pPr>
        <w:pStyle w:val="2"/>
      </w:pPr>
      <w:r>
        <w:rPr>
          <w:rFonts w:ascii="Times New Roman" w:hAnsi="Times New Roman" w:eastAsia="Times New Roman" w:cs="Times New Roman"/>
          <w:sz w:val="22"/>
        </w:rPr>
        <w:t>9. Conclusion</w:t>
      </w:r>
    </w:p>
    <w:p w14:paraId="46B96B97">
      <w:pPr>
        <w:spacing w:after="80" w:line="252" w:lineRule="auto"/>
        <w:ind w:firstLine="238"/>
        <w:jc w:val="both"/>
      </w:pPr>
      <w:r>
        <w:rPr>
          <w:rFonts w:ascii="Times New Roman" w:hAnsi="Times New Roman" w:eastAsia="Times New Roman" w:cs="Times New Roman"/>
          <w:sz w:val="20"/>
        </w:rPr>
        <w:t>This study compared a fixed-capacity EC2 web deployment with an API Gateway + AWS Lambda serverless deployment across six predefined workload patterns while keeping the application computation identical. Across 36 formal trials, the outcome depended on workload shape. Serverless often responded better to sudden or idle-to-burst traffic, and in W05 its relative cost improved markedly because compute was not continuously allocated during the idle interval. The tested EC2 setup, however, was generally less expensive per 1,000 successful requests and more reliable in the measured conditions.</w:t>
      </w:r>
    </w:p>
    <w:p w14:paraId="2EEFCCDA">
      <w:pPr>
        <w:spacing w:after="80" w:line="252" w:lineRule="auto"/>
        <w:ind w:firstLine="238"/>
        <w:jc w:val="both"/>
      </w:pPr>
      <w:r>
        <w:rPr>
          <w:rFonts w:ascii="Times New Roman" w:hAnsi="Times New Roman" w:eastAsia="Times New Roman" w:cs="Times New Roman"/>
          <w:sz w:val="20"/>
        </w:rPr>
        <w:t>The experiment also shows why a single metric is not enough for this type of comparison. Average latency, P95/P99 tail latency, achieved throughput, failure rate, resource behavior, and estimated cost did not always favor the same architecture within a workload. W06 is a good example: competitive mean behavior coexisted with less favorable tail latency and reliability on the serverless path.</w:t>
      </w:r>
    </w:p>
    <w:p w14:paraId="0E01A136">
      <w:pPr>
        <w:spacing w:after="80" w:line="252" w:lineRule="auto"/>
        <w:ind w:firstLine="238"/>
        <w:jc w:val="both"/>
      </w:pPr>
      <w:r>
        <w:rPr>
          <w:rFonts w:ascii="Times New Roman" w:hAnsi="Times New Roman" w:eastAsia="Times New Roman" w:cs="Times New Roman"/>
          <w:sz w:val="20"/>
        </w:rPr>
        <w:t>The serverless results also need to be read in light of the account-specific Lambda concurrency quota of 10. Measurements taken near that ceiling are valid observations of the tested environment, but they do not describe the normal scaling limit of AWS Lambda. Future work should repeat the same workload matrix with a higher concurrency quota, other EC2 families, additional Lambda memory and CPU architectures, open-loop arrival processes, and more AWS Regions. That would show whether the workload-dependent trade-offs observed here remain consistent under broader capacity and traffic conditions.</w:t>
      </w:r>
    </w:p>
    <w:p w14:paraId="3B1CC81D">
      <w:pPr>
        <w:pStyle w:val="2"/>
      </w:pPr>
      <w:r>
        <w:rPr>
          <w:rFonts w:ascii="Times New Roman" w:hAnsi="Times New Roman" w:eastAsia="Times New Roman" w:cs="Times New Roman"/>
          <w:sz w:val="22"/>
        </w:rPr>
        <w:t>References</w:t>
      </w:r>
    </w:p>
    <w:p w14:paraId="321D580F">
      <w:pPr>
        <w:spacing w:after="60" w:line="240" w:lineRule="auto"/>
        <w:ind w:left="340" w:hanging="340"/>
      </w:pPr>
      <w:r>
        <w:rPr>
          <w:rFonts w:ascii="Times New Roman" w:hAnsi="Times New Roman" w:eastAsia="Times New Roman" w:cs="Times New Roman"/>
          <w:sz w:val="20"/>
        </w:rPr>
        <w:t xml:space="preserve">[1] J. M. Hellerstein, J. Faleiro, J. E. Gonzalez, J. Schleier-Smith, V. Sreekanti, A. Tumanov, and C. Wu, “Serverless Computing: One Step Forward, Two Steps Back,” in </w:t>
      </w:r>
      <w:r>
        <w:rPr>
          <w:rFonts w:ascii="Times New Roman" w:hAnsi="Times New Roman" w:eastAsia="Times New Roman" w:cs="Times New Roman"/>
          <w:i/>
          <w:sz w:val="20"/>
        </w:rPr>
        <w:t>9th Biennial Conference on Innovative Data Systems Research (CIDR)</w:t>
      </w:r>
      <w:r>
        <w:rPr>
          <w:rFonts w:ascii="Times New Roman" w:hAnsi="Times New Roman" w:eastAsia="Times New Roman" w:cs="Times New Roman"/>
          <w:sz w:val="20"/>
        </w:rPr>
        <w:t>, 2019.</w:t>
      </w:r>
    </w:p>
    <w:p w14:paraId="6B9F3681">
      <w:pPr>
        <w:spacing w:after="60" w:line="240" w:lineRule="auto"/>
        <w:ind w:left="340" w:hanging="340"/>
      </w:pPr>
      <w:r>
        <w:rPr>
          <w:rFonts w:ascii="Times New Roman" w:hAnsi="Times New Roman" w:eastAsia="Times New Roman" w:cs="Times New Roman"/>
          <w:sz w:val="20"/>
        </w:rPr>
        <w:t xml:space="preserve">[2] L. Wang, M. Li, Y. Zhang, T. Ristenpart, and M. Swift, “Peeking Behind the Curtains of Serverless Platforms,” in </w:t>
      </w:r>
      <w:r>
        <w:rPr>
          <w:rFonts w:ascii="Times New Roman" w:hAnsi="Times New Roman" w:eastAsia="Times New Roman" w:cs="Times New Roman"/>
          <w:i/>
          <w:sz w:val="20"/>
        </w:rPr>
        <w:t>2018 USENIX Annual Technical Conference (USENIX ATC 18)</w:t>
      </w:r>
      <w:r>
        <w:rPr>
          <w:rFonts w:ascii="Times New Roman" w:hAnsi="Times New Roman" w:eastAsia="Times New Roman" w:cs="Times New Roman"/>
          <w:sz w:val="20"/>
        </w:rPr>
        <w:t>, pp. 133–146, 2018.</w:t>
      </w:r>
    </w:p>
    <w:p w14:paraId="24A141DA">
      <w:pPr>
        <w:spacing w:after="60" w:line="240" w:lineRule="auto"/>
        <w:ind w:left="340" w:hanging="340"/>
      </w:pPr>
      <w:r>
        <w:rPr>
          <w:rFonts w:ascii="Times New Roman" w:hAnsi="Times New Roman" w:eastAsia="Times New Roman" w:cs="Times New Roman"/>
          <w:sz w:val="20"/>
        </w:rPr>
        <w:t xml:space="preserve">[3] M. Shahrad, R. Fonseca, I. Goiri, G. Chaudhry, P. Batum, J. Cooke, E. Laureano, C. Tresness, M. Russinovich, and R. Bianchini, “Serverless in the Wild: Characterizing and Optimizing the Serverless Workload at a Large Cloud Provider,” in </w:t>
      </w:r>
      <w:r>
        <w:rPr>
          <w:rFonts w:ascii="Times New Roman" w:hAnsi="Times New Roman" w:eastAsia="Times New Roman" w:cs="Times New Roman"/>
          <w:i/>
          <w:sz w:val="20"/>
        </w:rPr>
        <w:t>2020 USENIX Annual Technical Conference (USENIX ATC 20)</w:t>
      </w:r>
      <w:r>
        <w:rPr>
          <w:rFonts w:ascii="Times New Roman" w:hAnsi="Times New Roman" w:eastAsia="Times New Roman" w:cs="Times New Roman"/>
          <w:sz w:val="20"/>
        </w:rPr>
        <w:t>, pp. 205–218, 2020.</w:t>
      </w:r>
    </w:p>
    <w:p w14:paraId="782BF72C">
      <w:pPr>
        <w:spacing w:after="60" w:line="240" w:lineRule="auto"/>
        <w:ind w:left="340" w:hanging="340"/>
      </w:pPr>
      <w:r>
        <w:rPr>
          <w:rFonts w:ascii="Times New Roman" w:hAnsi="Times New Roman" w:eastAsia="Times New Roman" w:cs="Times New Roman"/>
          <w:sz w:val="20"/>
        </w:rPr>
        <w:t xml:space="preserve">[4] A. Agache, M. Brooker, A. Florescu, A. Iordache, A. Liguori, R. Neugebauer, P. Piwonka, and D.-M. Popa, “Firecracker: Lightweight Virtualization for Serverless Applications,” in </w:t>
      </w:r>
      <w:r>
        <w:rPr>
          <w:rFonts w:ascii="Times New Roman" w:hAnsi="Times New Roman" w:eastAsia="Times New Roman" w:cs="Times New Roman"/>
          <w:i/>
          <w:sz w:val="20"/>
        </w:rPr>
        <w:t>17th USENIX Symposium on Networked Systems Design and Implementation (NSDI 20)</w:t>
      </w:r>
      <w:r>
        <w:rPr>
          <w:rFonts w:ascii="Times New Roman" w:hAnsi="Times New Roman" w:eastAsia="Times New Roman" w:cs="Times New Roman"/>
          <w:sz w:val="20"/>
        </w:rPr>
        <w:t>, pp. 419–434, 2020.</w:t>
      </w:r>
    </w:p>
    <w:p w14:paraId="1DC9871A">
      <w:pPr>
        <w:spacing w:after="60" w:line="240" w:lineRule="auto"/>
        <w:ind w:left="340" w:hanging="340"/>
      </w:pPr>
      <w:r>
        <w:rPr>
          <w:rFonts w:ascii="Times New Roman" w:hAnsi="Times New Roman" w:eastAsia="Times New Roman" w:cs="Times New Roman"/>
          <w:sz w:val="20"/>
        </w:rPr>
        <w:t xml:space="preserve">[5] I. E. Akkus, R. Chen, I. Rimac, M. Stein, K. Satzke, A. Beck, P. Aditya, and V. Hilt, “SAND: Towards High-Performance Serverless Computing,” in </w:t>
      </w:r>
      <w:r>
        <w:rPr>
          <w:rFonts w:ascii="Times New Roman" w:hAnsi="Times New Roman" w:eastAsia="Times New Roman" w:cs="Times New Roman"/>
          <w:i/>
          <w:sz w:val="20"/>
        </w:rPr>
        <w:t>2018 USENIX Annual Technical Conference (USENIX ATC 18)</w:t>
      </w:r>
      <w:r>
        <w:rPr>
          <w:rFonts w:ascii="Times New Roman" w:hAnsi="Times New Roman" w:eastAsia="Times New Roman" w:cs="Times New Roman"/>
          <w:sz w:val="20"/>
        </w:rPr>
        <w:t>, pp. 923–935, 2018.</w:t>
      </w:r>
    </w:p>
    <w:p w14:paraId="3AB08BC8">
      <w:pPr>
        <w:spacing w:after="60" w:line="240" w:lineRule="auto"/>
        <w:ind w:left="340" w:hanging="340"/>
      </w:pPr>
      <w:r>
        <w:rPr>
          <w:rFonts w:ascii="Times New Roman" w:hAnsi="Times New Roman" w:eastAsia="Times New Roman" w:cs="Times New Roman"/>
          <w:sz w:val="20"/>
        </w:rPr>
        <w:t xml:space="preserve">[6] S. Boucher, A. Kalia, D. G. Andersen, and M. Kaminsky, “Putting the ‘Micro’ Back in Microservice,” in </w:t>
      </w:r>
      <w:r>
        <w:rPr>
          <w:rFonts w:ascii="Times New Roman" w:hAnsi="Times New Roman" w:eastAsia="Times New Roman" w:cs="Times New Roman"/>
          <w:i/>
          <w:sz w:val="20"/>
        </w:rPr>
        <w:t>2018 USENIX Annual Technical Conference (USENIX ATC 18)</w:t>
      </w:r>
      <w:r>
        <w:rPr>
          <w:rFonts w:ascii="Times New Roman" w:hAnsi="Times New Roman" w:eastAsia="Times New Roman" w:cs="Times New Roman"/>
          <w:sz w:val="20"/>
        </w:rPr>
        <w:t>, pp. 645–650, 2018.</w:t>
      </w:r>
    </w:p>
    <w:p w14:paraId="16D723E7">
      <w:pPr>
        <w:spacing w:after="60" w:line="240" w:lineRule="auto"/>
        <w:ind w:left="340" w:hanging="340"/>
      </w:pPr>
      <w:r>
        <w:rPr>
          <w:rFonts w:ascii="Times New Roman" w:hAnsi="Times New Roman" w:eastAsia="Times New Roman" w:cs="Times New Roman"/>
          <w:sz w:val="20"/>
        </w:rPr>
        <w:t xml:space="preserve">[7] S. Shillaker and P. Pietzuch, “Faasm: Lightweight Isolation for Efficient Stateful Serverless Computing,” in </w:t>
      </w:r>
      <w:r>
        <w:rPr>
          <w:rFonts w:ascii="Times New Roman" w:hAnsi="Times New Roman" w:eastAsia="Times New Roman" w:cs="Times New Roman"/>
          <w:i/>
          <w:sz w:val="20"/>
        </w:rPr>
        <w:t>2020 USENIX Annual Technical Conference (USENIX ATC 20)</w:t>
      </w:r>
      <w:r>
        <w:rPr>
          <w:rFonts w:ascii="Times New Roman" w:hAnsi="Times New Roman" w:eastAsia="Times New Roman" w:cs="Times New Roman"/>
          <w:sz w:val="20"/>
        </w:rPr>
        <w:t>, pp. 419–433, 2020.</w:t>
      </w:r>
    </w:p>
    <w:p w14:paraId="27585B93">
      <w:pPr>
        <w:spacing w:after="60" w:line="240" w:lineRule="auto"/>
        <w:ind w:left="340" w:hanging="340"/>
      </w:pPr>
      <w:r>
        <w:rPr>
          <w:rFonts w:ascii="Times New Roman" w:hAnsi="Times New Roman" w:eastAsia="Times New Roman" w:cs="Times New Roman"/>
          <w:sz w:val="20"/>
        </w:rPr>
        <w:t xml:space="preserve">[8] C. Lin, N. Mahmoudi, S. Fan, and H. Khazaei, “Fine-Grained Performance and Cost Modeling and Optimization for FaaS Applications,” </w:t>
      </w:r>
      <w:r>
        <w:rPr>
          <w:rFonts w:ascii="Times New Roman" w:hAnsi="Times New Roman" w:eastAsia="Times New Roman" w:cs="Times New Roman"/>
          <w:i/>
          <w:sz w:val="20"/>
        </w:rPr>
        <w:t>IEEE Transactions on Parallel and Distributed Systems</w:t>
      </w:r>
      <w:r>
        <w:rPr>
          <w:rFonts w:ascii="Times New Roman" w:hAnsi="Times New Roman" w:eastAsia="Times New Roman" w:cs="Times New Roman"/>
          <w:sz w:val="20"/>
        </w:rPr>
        <w:t>, vol. 34, no. 1, pp. 180–194, 2023, doi: 10.1109/TPDS.2022.3214783.</w:t>
      </w:r>
    </w:p>
    <w:p w14:paraId="4926777B">
      <w:pPr>
        <w:spacing w:after="60" w:line="240" w:lineRule="auto"/>
        <w:ind w:left="340" w:hanging="340"/>
      </w:pPr>
      <w:r>
        <w:rPr>
          <w:rFonts w:ascii="Times New Roman" w:hAnsi="Times New Roman" w:eastAsia="Times New Roman" w:cs="Times New Roman"/>
          <w:sz w:val="20"/>
        </w:rPr>
        <w:t xml:space="preserve">[9] J. Dean and L. A. Barroso, “The Tail at Scale,” </w:t>
      </w:r>
      <w:r>
        <w:rPr>
          <w:rFonts w:ascii="Times New Roman" w:hAnsi="Times New Roman" w:eastAsia="Times New Roman" w:cs="Times New Roman"/>
          <w:i/>
          <w:sz w:val="20"/>
        </w:rPr>
        <w:t>Communications of the ACM</w:t>
      </w:r>
      <w:r>
        <w:rPr>
          <w:rFonts w:ascii="Times New Roman" w:hAnsi="Times New Roman" w:eastAsia="Times New Roman" w:cs="Times New Roman"/>
          <w:sz w:val="20"/>
        </w:rPr>
        <w:t>, vol. 56, no. 2, pp. 74–80, 2013, doi: 10.1145/2408776.2408794.</w:t>
      </w:r>
    </w:p>
    <w:p w14:paraId="0A176B42">
      <w:pPr>
        <w:spacing w:after="60" w:line="240" w:lineRule="auto"/>
        <w:ind w:left="340" w:hanging="340"/>
      </w:pPr>
      <w:r>
        <w:rPr>
          <w:rFonts w:ascii="Times New Roman" w:hAnsi="Times New Roman" w:eastAsia="Times New Roman" w:cs="Times New Roman"/>
          <w:sz w:val="20"/>
        </w:rPr>
        <w:t xml:space="preserve">[10] Amazon Web Services, “Understanding Lambda function scaling,” </w:t>
      </w:r>
      <w:r>
        <w:rPr>
          <w:rFonts w:ascii="Times New Roman" w:hAnsi="Times New Roman" w:eastAsia="Times New Roman" w:cs="Times New Roman"/>
          <w:i/>
          <w:sz w:val="20"/>
        </w:rPr>
        <w:t>AWS Lambda Developer Guide</w:t>
      </w:r>
      <w:r>
        <w:rPr>
          <w:rFonts w:ascii="Times New Roman" w:hAnsi="Times New Roman" w:eastAsia="Times New Roman" w:cs="Times New Roman"/>
          <w:sz w:val="20"/>
        </w:rPr>
        <w:t>, accessed Aug. 17, 2026.</w:t>
      </w:r>
    </w:p>
    <w:p w14:paraId="46DD49DB">
      <w:pPr>
        <w:spacing w:after="60" w:line="240" w:lineRule="auto"/>
        <w:ind w:left="340" w:hanging="340"/>
      </w:pPr>
      <w:r>
        <w:rPr>
          <w:rFonts w:ascii="Times New Roman" w:hAnsi="Times New Roman" w:eastAsia="Times New Roman" w:cs="Times New Roman"/>
          <w:sz w:val="20"/>
        </w:rPr>
        <w:t xml:space="preserve">[11] Amazon Web Services, “Understanding the Lambda execution environment lifecycle,” </w:t>
      </w:r>
      <w:r>
        <w:rPr>
          <w:rFonts w:ascii="Times New Roman" w:hAnsi="Times New Roman" w:eastAsia="Times New Roman" w:cs="Times New Roman"/>
          <w:i/>
          <w:sz w:val="20"/>
        </w:rPr>
        <w:t>AWS Lambda Developer Guide</w:t>
      </w:r>
      <w:r>
        <w:rPr>
          <w:rFonts w:ascii="Times New Roman" w:hAnsi="Times New Roman" w:eastAsia="Times New Roman" w:cs="Times New Roman"/>
          <w:sz w:val="20"/>
        </w:rPr>
        <w:t>, accessed Aug. 17, 2026.</w:t>
      </w:r>
    </w:p>
    <w:p w14:paraId="31B1C9C1">
      <w:pPr>
        <w:spacing w:after="60" w:line="240" w:lineRule="auto"/>
        <w:ind w:left="340" w:hanging="340"/>
      </w:pPr>
      <w:r>
        <w:rPr>
          <w:rFonts w:ascii="Times New Roman" w:hAnsi="Times New Roman" w:eastAsia="Times New Roman" w:cs="Times New Roman"/>
          <w:sz w:val="20"/>
        </w:rPr>
        <w:t>[12] Amazon Web Services, “AWS Lambda Pricing,” accessed Aug. 17, 2026.</w:t>
      </w:r>
    </w:p>
    <w:p w14:paraId="589744A2">
      <w:pPr>
        <w:spacing w:after="60" w:line="240" w:lineRule="auto"/>
        <w:ind w:left="340" w:hanging="340"/>
      </w:pPr>
      <w:r>
        <w:rPr>
          <w:rFonts w:ascii="Times New Roman" w:hAnsi="Times New Roman" w:eastAsia="Times New Roman" w:cs="Times New Roman"/>
          <w:sz w:val="20"/>
        </w:rPr>
        <w:t xml:space="preserve">[13] Amazon Web Services, “Purchasing On-Demand Instances for Amazon EC2,” </w:t>
      </w:r>
      <w:r>
        <w:rPr>
          <w:rFonts w:ascii="Times New Roman" w:hAnsi="Times New Roman" w:eastAsia="Times New Roman" w:cs="Times New Roman"/>
          <w:i/>
          <w:sz w:val="20"/>
        </w:rPr>
        <w:t>Amazon EC2 User Guide</w:t>
      </w:r>
      <w:r>
        <w:rPr>
          <w:rFonts w:ascii="Times New Roman" w:hAnsi="Times New Roman" w:eastAsia="Times New Roman" w:cs="Times New Roman"/>
          <w:sz w:val="20"/>
        </w:rPr>
        <w:t>, accessed Aug. 17, 2026.</w:t>
      </w:r>
    </w:p>
    <w:p w14:paraId="6504AA07">
      <w:pPr>
        <w:spacing w:after="60" w:line="240" w:lineRule="auto"/>
        <w:ind w:left="340" w:hanging="340"/>
      </w:pPr>
      <w:r>
        <w:rPr>
          <w:rFonts w:ascii="Times New Roman" w:hAnsi="Times New Roman" w:eastAsia="Times New Roman" w:cs="Times New Roman"/>
          <w:sz w:val="20"/>
        </w:rPr>
        <w:t xml:space="preserve">[14] Amazon Web Services, “Key concepts for burstable performance instances,” </w:t>
      </w:r>
      <w:r>
        <w:rPr>
          <w:rFonts w:ascii="Times New Roman" w:hAnsi="Times New Roman" w:eastAsia="Times New Roman" w:cs="Times New Roman"/>
          <w:i/>
          <w:sz w:val="20"/>
        </w:rPr>
        <w:t>Amazon EC2 User Guide</w:t>
      </w:r>
      <w:r>
        <w:rPr>
          <w:rFonts w:ascii="Times New Roman" w:hAnsi="Times New Roman" w:eastAsia="Times New Roman" w:cs="Times New Roman"/>
          <w:sz w:val="20"/>
        </w:rPr>
        <w:t>, accessed Aug. 17, 2026.</w:t>
      </w:r>
    </w:p>
    <w:p w14:paraId="4CF4BC96">
      <w:pPr>
        <w:spacing w:after="60" w:line="240" w:lineRule="auto"/>
        <w:ind w:left="340" w:hanging="340"/>
      </w:pPr>
      <w:r>
        <w:rPr>
          <w:rFonts w:ascii="Times New Roman" w:hAnsi="Times New Roman" w:eastAsia="Times New Roman" w:cs="Times New Roman"/>
          <w:sz w:val="20"/>
        </w:rPr>
        <w:t>[15] Amazon Web Services, “Amazon API Gateway Pricing,” accessed Aug. 17, 2026.</w:t>
      </w:r>
    </w:p>
    <w:sectPr>
      <w:headerReference r:id="rId5" w:type="default"/>
      <w:footerReference r:id="rId6" w:type="default"/>
      <w:pgSz w:w="11906" w:h="16838"/>
      <w:pgMar w:top="1134" w:right="1020" w:bottom="1134" w:left="1020"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3CC62">
    <w:pPr>
      <w:pStyle w:val="18"/>
      <w:jc w:val="center"/>
    </w:pPr>
    <w:r>
      <w:rPr>
        <w:rFonts w:ascii="Times New Roman" w:hAnsi="Times New Roman" w:eastAsia="Times New Roman" w:cs="Times New Roman"/>
        <w:color w:val="5A5A5A"/>
        <w:sz w:val="18"/>
      </w:rPr>
      <w:t xml:space="preserve">Shaheen Sardar | Preprint | Page </w:t>
    </w:r>
    <w:r>
      <w:rPr>
        <w:rFonts w:ascii="Times New Roman" w:hAnsi="Times New Roman" w:eastAsia="Times New Roman" w:cs="Times New Roman"/>
        <w:sz w:val="18"/>
      </w:rPr>
      <w:fldChar w:fldCharType="begin"/>
    </w:r>
    <w:r>
      <w:rPr>
        <w:rFonts w:ascii="Times New Roman" w:hAnsi="Times New Roman" w:eastAsia="Times New Roman" w:cs="Times New Roman"/>
        <w:sz w:val="18"/>
      </w:rPr>
      <w:instrText xml:space="preserve"> PAGE </w:instrText>
    </w:r>
    <w:r>
      <w:rPr>
        <w:rFonts w:ascii="Times New Roman" w:hAnsi="Times New Roman" w:eastAsia="Times New Roman"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1F72E">
    <w:pPr>
      <w:pStyle w:val="19"/>
      <w:jc w:val="left"/>
    </w:pPr>
    <w:r>
      <w:rPr>
        <w:rFonts w:ascii="Times New Roman" w:hAnsi="Times New Roman" w:eastAsia="Times New Roman" w:cs="Times New Roman"/>
        <w:i/>
        <w:color w:val="5A5A5A"/>
        <w:sz w:val="18"/>
      </w:rPr>
      <w:t>EC2 vs. Serverless Architectures on AWS -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9151A"/>
    <w:rsid w:val="468114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38"/>
    <w:qFormat/>
    <w:uiPriority w:val="9"/>
    <w:pPr>
      <w:keepNext/>
      <w:keepLines/>
      <w:spacing w:before="160" w:after="60"/>
      <w:outlineLvl w:val="0"/>
    </w:pPr>
    <w:rPr>
      <w:rFonts w:asciiTheme="majorHAnsi" w:hAnsiTheme="majorHAnsi" w:eastAsiaTheme="majorEastAsia" w:cstheme="majorBidi"/>
      <w:b/>
      <w:bCs/>
      <w:color w:val="000000"/>
      <w:sz w:val="22"/>
      <w:szCs w:val="28"/>
    </w:rPr>
  </w:style>
  <w:style w:type="paragraph" w:styleId="3">
    <w:name w:val="heading 2"/>
    <w:basedOn w:val="1"/>
    <w:next w:val="1"/>
    <w:link w:val="139"/>
    <w:unhideWhenUsed/>
    <w:qFormat/>
    <w:uiPriority w:val="9"/>
    <w:pPr>
      <w:keepNext/>
      <w:keepLines/>
      <w:spacing w:before="160" w:after="60"/>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Shaheen Sardar</dc:creator>
  <dc:description>generated by python-docx</dc:description>
  <cp:keywords>cloud computing; serverless computing; Amazon EC2; AWS Lambda; burst workloads; performance evaluation; scalability; tail latency; cloud cost</cp:keywords>
  <cp:lastModifiedBy>WPS_1718378737</cp:lastModifiedBy>
  <dcterms:modified xsi:type="dcterms:W3CDTF">2026-08-17T05:58:51Z</dcterms:modified>
  <dc:subject>AWS EC2 versus serverless experimental preprint</dc:subject>
  <dc:title>Experimental Evaluation of EC2-Based and Serverless Architectures for Bursty Web Application Workloads on AWS: Performance, Scalability, and Cost Trade-offs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42F27A62B6494619BF2758EED5796522_12</vt:lpwstr>
  </property>
</Properties>
</file>