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28"/>
        </w:rPr>
        <w:t>Acceptable Use Policy (AUP)</w:t>
      </w:r>
    </w:p>
    <w:p>
      <w:pPr>
        <w:jc w:val="center"/>
      </w:pPr>
      <w:r>
        <w:rPr>
          <w:sz w:val="18"/>
        </w:rPr>
        <w:t>TechCo Pvt Ltd | Effective Date: June 2026</w:t>
      </w:r>
    </w:p>
    <w:p/>
    <w:p>
      <w:r>
        <w:rPr>
          <w:b/>
          <w:color w:val="1F4E78"/>
          <w:sz w:val="22"/>
        </w:rPr>
        <w:t>1. Purpose</w:t>
      </w:r>
    </w:p>
    <w:p>
      <w:pPr>
        <w:spacing w:after="120"/>
      </w:pPr>
      <w:r>
        <w:t>This policy establishes guidelines for acceptable use of TechCo's information technology resources. It applies to all employees, contractors, and authorized users of company systems.</w:t>
      </w:r>
    </w:p>
    <w:p>
      <w:r>
        <w:rPr>
          <w:b/>
          <w:color w:val="1F4E78"/>
          <w:sz w:val="22"/>
        </w:rPr>
        <w:t>2. Scope</w:t>
      </w:r>
    </w:p>
    <w:p>
      <w:pPr>
        <w:spacing w:after="120"/>
      </w:pPr>
      <w:r>
        <w:t>This policy applies to all company-provided IT resources: computers, laptops, mobile devices, email, cloud accounts, networks, and software.</w:t>
      </w:r>
    </w:p>
    <w:p>
      <w:r>
        <w:rPr>
          <w:b/>
          <w:color w:val="1F4E78"/>
          <w:sz w:val="22"/>
        </w:rPr>
        <w:t>3. Acceptable Use Rules</w:t>
      </w:r>
    </w:p>
    <w:p>
      <w:pPr>
        <w:pStyle w:val="ListBullet"/>
        <w:spacing w:after="40"/>
      </w:pPr>
      <w:r>
        <w:t>Use company systems for authorized work-related activities</w:t>
      </w:r>
    </w:p>
    <w:p>
      <w:pPr>
        <w:pStyle w:val="ListBullet"/>
        <w:spacing w:after="40"/>
      </w:pPr>
      <w:r>
        <w:t>Use email professionally and securely</w:t>
      </w:r>
    </w:p>
    <w:p>
      <w:pPr>
        <w:pStyle w:val="ListBullet"/>
        <w:spacing w:after="40"/>
      </w:pPr>
      <w:r>
        <w:t>Report security incidents and suspicious activity immediately</w:t>
      </w:r>
    </w:p>
    <w:p>
      <w:pPr>
        <w:pStyle w:val="ListBullet"/>
        <w:spacing w:after="40"/>
      </w:pPr>
      <w:r>
        <w:t>Keep passwords confidential and change them regularly</w:t>
      </w:r>
    </w:p>
    <w:p>
      <w:pPr>
        <w:pStyle w:val="ListBullet"/>
        <w:spacing w:after="40"/>
      </w:pPr>
      <w:r>
        <w:t>Limited personal use is acceptable if it does not interfere with work</w:t>
      </w:r>
    </w:p>
    <w:p/>
    <w:p>
      <w:r>
        <w:rPr>
          <w:b/>
          <w:color w:val="1F4E78"/>
          <w:sz w:val="22"/>
        </w:rPr>
        <w:t>4. Prohibited Activities</w:t>
      </w:r>
    </w:p>
    <w:p>
      <w:pPr>
        <w:pStyle w:val="ListBullet"/>
        <w:spacing w:after="40"/>
      </w:pPr>
      <w:r>
        <w:t>Unauthorized access to systems or data</w:t>
      </w:r>
    </w:p>
    <w:p>
      <w:pPr>
        <w:pStyle w:val="ListBullet"/>
        <w:spacing w:after="40"/>
      </w:pPr>
      <w:r>
        <w:t>Downloading/sharing copyrighted material or malware</w:t>
      </w:r>
    </w:p>
    <w:p>
      <w:pPr>
        <w:pStyle w:val="ListBullet"/>
        <w:spacing w:after="40"/>
      </w:pPr>
      <w:r>
        <w:t>Sending harassing, threatening, or discriminatory messages</w:t>
      </w:r>
    </w:p>
    <w:p>
      <w:pPr>
        <w:pStyle w:val="ListBullet"/>
        <w:spacing w:after="40"/>
      </w:pPr>
      <w:r>
        <w:t>Accessing, storing, or distributing adult content</w:t>
      </w:r>
    </w:p>
    <w:p>
      <w:pPr>
        <w:pStyle w:val="ListBullet"/>
        <w:spacing w:after="40"/>
      </w:pPr>
      <w:r>
        <w:t>Using company systems for personal business/financial gain</w:t>
      </w:r>
    </w:p>
    <w:p>
      <w:pPr>
        <w:pStyle w:val="ListBullet"/>
        <w:spacing w:after="40"/>
      </w:pPr>
      <w:r>
        <w:t>Sharing passwords or circumventing security controls</w:t>
      </w:r>
    </w:p>
    <w:p/>
    <w:p>
      <w:r>
        <w:rPr>
          <w:b/>
          <w:color w:val="1F4E78"/>
          <w:sz w:val="22"/>
        </w:rPr>
        <w:t>5. Consequences of Violation</w:t>
      </w:r>
    </w:p>
    <w:p>
      <w:pPr>
        <w:spacing w:after="120"/>
      </w:pPr>
      <w:r>
        <w:t>Violations may result in: warning, suspension of system access, disciplinary action up to and including termination of employment, and potential legal action depending on severity.</w:t>
      </w:r>
    </w:p>
    <w:p>
      <w:r>
        <w:rPr>
          <w:b/>
          <w:color w:val="1F4E78"/>
          <w:sz w:val="22"/>
        </w:rPr>
        <w:t>6. Monitoring and Enforcement</w:t>
      </w:r>
    </w:p>
    <w:p>
      <w:pPr>
        <w:spacing w:after="120"/>
      </w:pPr>
      <w:r>
        <w:t>TechCo reserves the right to monitor system usage to ensure compliance with this policy. Users should have no expectation of privacy regarding company system usage.</w:t>
      </w:r>
    </w:p>
    <w:p>
      <w:r>
        <w:rPr>
          <w:b/>
          <w:color w:val="1F4E78"/>
          <w:sz w:val="22"/>
        </w:rPr>
        <w:t>7. Policy Review</w:t>
      </w:r>
    </w:p>
    <w:p>
      <w:pPr>
        <w:spacing w:after="120"/>
      </w:pPr>
      <w:r>
        <w:t>This policy will be reviewed and updated annually or when significant changes in technology or business requirements occur. All users must acknowledge understanding of this policy upon hire and annually thereafter.</w:t>
      </w:r>
    </w:p>
    <w:p/>
    <w:p>
      <w:r>
        <w:rPr>
          <w:i/>
          <w:sz w:val="16"/>
        </w:rPr>
        <w:t>Approved by: Chief Information Security Officer (CISO) | Effective: June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