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ISO 27001 Gap Analysis Summary</w:t>
      </w:r>
    </w:p>
    <w:p>
      <w:pPr>
        <w:jc w:val="center"/>
      </w:pPr>
      <w:r>
        <w:rPr>
          <w:sz w:val="20"/>
        </w:rPr>
        <w:t>TechCo Pvt Ltd | 50-Person Software Company | Karachi</w:t>
      </w:r>
    </w:p>
    <w:p>
      <w:pPr>
        <w:jc w:val="center"/>
      </w:pPr>
      <w:r>
        <w:rPr>
          <w:sz w:val="18"/>
        </w:rPr>
        <w:t>Assessment Date: June 03, 2026</w:t>
      </w:r>
    </w:p>
    <w:p/>
    <w:p>
      <w:r>
        <w:rPr>
          <w:b/>
          <w:color w:val="1F4E78"/>
          <w:sz w:val="24"/>
        </w:rPr>
        <w:t>Overview</w:t>
      </w:r>
    </w:p>
    <w:p>
      <w:pPr>
        <w:spacing w:after="120" w:before="0"/>
      </w:pPr>
      <w:r>
        <w:t>This gap analysis evaluates TechCo Pvt Ltd against 20 critical ISO 27001:2022 Annex A controls. The assessment identifies compliance gaps, assigns risk levels, and provides actionable recommendations for security improvements. Controls are categorized as Implemented, Partial, or Missing based on current state.</w:t>
      </w:r>
    </w:p>
    <w:p>
      <w:r>
        <w:rPr>
          <w:b/>
          <w:color w:val="1F4E78"/>
          <w:sz w:val="24"/>
        </w:rPr>
        <w:t>Key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Count</w:t>
            </w:r>
          </w:p>
        </w:tc>
        <w:tc>
          <w:tcPr>
            <w:tcW w:type="dxa" w:w="3360"/>
          </w:tcPr>
          <w:p>
            <w:r>
              <w:t>Percentage</w:t>
            </w:r>
          </w:p>
        </w:tc>
      </w:tr>
      <w:tr>
        <w:tc>
          <w:tcPr>
            <w:tcW w:type="dxa" w:w="3360"/>
          </w:tcPr>
          <w:p>
            <w:r>
              <w:t>Implemented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15%</w:t>
            </w:r>
          </w:p>
        </w:tc>
      </w:tr>
      <w:tr>
        <w:tc>
          <w:tcPr>
            <w:tcW w:type="dxa" w:w="3360"/>
          </w:tcPr>
          <w:p>
            <w:r>
              <w:t>Partial</w:t>
            </w:r>
          </w:p>
        </w:tc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35%</w:t>
            </w:r>
          </w:p>
        </w:tc>
      </w:tr>
      <w:tr>
        <w:tc>
          <w:tcPr>
            <w:tcW w:type="dxa" w:w="3360"/>
          </w:tcPr>
          <w:p>
            <w:r>
              <w:t>Missing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50%</w:t>
            </w:r>
          </w:p>
        </w:tc>
      </w:tr>
      <w:tr>
        <w:tc>
          <w:tcPr>
            <w:tcW w:type="dxa" w:w="3360"/>
          </w:tcPr>
          <w:p>
            <w:r>
              <w:t>Overall Risk Level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—</w:t>
            </w:r>
          </w:p>
        </w:tc>
      </w:tr>
    </w:tbl>
    <w:p/>
    <w:p>
      <w:r>
        <w:rPr>
          <w:b/>
          <w:color w:val="FF0000"/>
          <w:sz w:val="22"/>
        </w:rPr>
        <w:t>Critical Gaps (Immediate Action Required)</w:t>
      </w:r>
    </w:p>
    <w:p>
      <w:pPr>
        <w:pStyle w:val="ListBullet"/>
        <w:spacing w:after="40"/>
      </w:pPr>
      <w:r>
        <w:t>• A.7.2 (Secure Areas) — Missing: No dedicated secure server room</w:t>
      </w:r>
    </w:p>
    <w:p>
      <w:pPr>
        <w:pStyle w:val="ListBullet"/>
        <w:spacing w:after="40"/>
      </w:pPr>
      <w:r>
        <w:t>• A.8.2 (Privileged Access) — Missing: No PAM system, shared admin passwords</w:t>
      </w:r>
    </w:p>
    <w:p>
      <w:pPr>
        <w:pStyle w:val="ListBullet"/>
        <w:spacing w:after="40"/>
      </w:pPr>
      <w:r>
        <w:t>• A.11.1 (Event Logging) — Partial: No database/server/admin logging</w:t>
      </w:r>
    </w:p>
    <w:p>
      <w:pPr>
        <w:pStyle w:val="ListBullet"/>
        <w:spacing w:after="40"/>
      </w:pPr>
      <w:r>
        <w:t>• A.11.2 (Log Protection) — Partial: Logs stored locally, deletable by admins</w:t>
      </w:r>
    </w:p>
    <w:p>
      <w:pPr>
        <w:pStyle w:val="ListBullet"/>
        <w:spacing w:after="40"/>
      </w:pPr>
      <w:r>
        <w:t>• A.12.1 (Incident Response Events) — Partial: No defined response procedures</w:t>
      </w:r>
    </w:p>
    <w:p>
      <w:pPr>
        <w:pStyle w:val="ListBullet"/>
        <w:spacing w:after="40"/>
      </w:pPr>
      <w:r>
        <w:t>• A.12.2 (Incident Management) — Missing: No formal incident response plan</w:t>
      </w:r>
    </w:p>
    <w:p/>
    <w:p>
      <w:r>
        <w:rPr>
          <w:b/>
          <w:color w:val="1F4E78"/>
          <w:sz w:val="22"/>
        </w:rPr>
        <w:t>Recommended Actions</w:t>
      </w:r>
    </w:p>
    <w:p>
      <w:pPr>
        <w:pStyle w:val="ListNumber"/>
        <w:spacing w:after="80"/>
      </w:pPr>
      <w:r>
        <w:t>1. Phase 1 (Months 1-2): Establish secure server room, implement PAM solution, develop incident response plan</w:t>
      </w:r>
    </w:p>
    <w:p>
      <w:pPr>
        <w:pStyle w:val="ListNumber"/>
        <w:spacing w:after="80"/>
      </w:pPr>
      <w:r>
        <w:t>2. Phase 2 (Months 3-4): Deploy centralized logging, conduct user access reviews, establish vendor access governance</w:t>
      </w:r>
    </w:p>
    <w:p>
      <w:pPr>
        <w:pStyle w:val="ListNumber"/>
        <w:spacing w:after="80"/>
      </w:pPr>
      <w:r>
        <w:t>3. Phase 3 (Months 5-6): Enforce encryption policy, implement offboarding procedures, formalize all security policies</w:t>
      </w:r>
    </w:p>
    <w:p/>
    <w:p>
      <w:r>
        <w:rPr>
          <w:b/>
          <w:color w:val="1F4E78"/>
          <w:sz w:val="22"/>
        </w:rPr>
        <w:t>Conclusion</w:t>
      </w:r>
    </w:p>
    <w:p>
      <w:pPr>
        <w:spacing w:after="120"/>
      </w:pPr>
      <w:r>
        <w:t>TechCo has a foundational security posture with basic policies and some controls in place. However, critical gaps exist in privileged access management, event logging, and incident response. By addressing the 6 critical controls identified, TechCo can achieve Medium → Low risk rating within 6 months and prepare for ISO 27001 certification within 12-18 months.</w:t>
      </w:r>
    </w:p>
    <w:p>
      <w:pPr>
        <w:jc w:val="center"/>
      </w:pPr>
      <w:r>
        <w:rPr>
          <w:i/>
          <w:sz w:val="16"/>
        </w:rPr>
        <w:t>Full assessment details available in ISO27001_Gap_Analysis_TechCo.xlsx and supporting documentation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