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E293B"/>
          <w:sz w:val="44"/>
        </w:rPr>
        <w:t>Task 4: Incident Response Simulation</w:t>
      </w:r>
    </w:p>
    <w:p>
      <w:r>
        <w:rPr>
          <w:rFonts w:ascii="Arial" w:hAnsi="Arial"/>
          <w:i/>
          <w:color w:val="64748B"/>
          <w:sz w:val="26"/>
        </w:rPr>
        <w:t>Scenario: Phishing Email Attack</w:t>
      </w:r>
    </w:p>
    <w:p>
      <w:pPr>
        <w:spacing w:after="240"/>
      </w:pPr>
    </w:p>
    <w:p>
      <w:pPr>
        <w:spacing w:before="240" w:after="40"/>
      </w:pPr>
      <w:r>
        <w:rPr>
          <w:rFonts w:ascii="Arial" w:hAnsi="Arial"/>
          <w:b/>
          <w:color w:val="6366F1"/>
          <w:sz w:val="28"/>
        </w:rPr>
        <w:t>Objective</w:t>
      </w:r>
    </w:p>
    <w:p>
      <w:pPr>
        <w:spacing w:after="240"/>
      </w:pPr>
      <w:r>
        <w:rPr>
          <w:rFonts w:ascii="Calibri" w:hAnsi="Calibri"/>
          <w:color w:val="334155"/>
          <w:sz w:val="22"/>
        </w:rPr>
        <w:t>To understand the incident response process for a phishing attack.</w:t>
      </w:r>
    </w:p>
    <w:p>
      <w:pPr>
        <w:spacing w:before="240" w:after="40"/>
      </w:pPr>
      <w:r>
        <w:rPr>
          <w:rFonts w:ascii="Arial" w:hAnsi="Arial"/>
          <w:b/>
          <w:color w:val="EF4444"/>
          <w:sz w:val="28"/>
        </w:rPr>
        <w:t>Identification</w:t>
      </w:r>
    </w:p>
    <w:p>
      <w:pPr>
        <w:spacing w:after="240"/>
      </w:pPr>
      <w:r>
        <w:rPr>
          <w:rFonts w:ascii="Calibri" w:hAnsi="Calibri"/>
          <w:color w:val="334155"/>
          <w:sz w:val="22"/>
        </w:rPr>
        <w:t>A suspicious email requested employee login credentials through a fake login page. The email was reported by the user.</w:t>
      </w:r>
    </w:p>
    <w:p>
      <w:pPr>
        <w:spacing w:before="240" w:after="40"/>
      </w:pPr>
      <w:r>
        <w:rPr>
          <w:rFonts w:ascii="Arial" w:hAnsi="Arial"/>
          <w:b/>
          <w:color w:val="F59E0B"/>
          <w:sz w:val="28"/>
        </w:rPr>
        <w:t>Containment</w:t>
      </w:r>
    </w:p>
    <w:p>
      <w:pPr>
        <w:spacing w:after="240"/>
      </w:pPr>
      <w:r>
        <w:rPr>
          <w:rFonts w:ascii="Calibri" w:hAnsi="Calibri"/>
          <w:color w:val="334155"/>
          <w:sz w:val="22"/>
        </w:rPr>
        <w:t>Disabled the affected account, blocked the sender, isolated impacted systems, and informed the IT security team.</w:t>
      </w:r>
    </w:p>
    <w:p>
      <w:pPr>
        <w:spacing w:before="240" w:after="40"/>
      </w:pPr>
      <w:r>
        <w:rPr>
          <w:rFonts w:ascii="Arial" w:hAnsi="Arial"/>
          <w:b/>
          <w:color w:val="10B981"/>
          <w:sz w:val="28"/>
        </w:rPr>
        <w:t>Eradication</w:t>
      </w:r>
    </w:p>
    <w:p>
      <w:pPr>
        <w:spacing w:after="240"/>
      </w:pPr>
      <w:r>
        <w:rPr>
          <w:rFonts w:ascii="Calibri" w:hAnsi="Calibri"/>
          <w:color w:val="334155"/>
          <w:sz w:val="22"/>
        </w:rPr>
        <w:t>Removed the phishing email, reset passwords, scanned systems for malware, and updated email security filters.</w:t>
      </w:r>
    </w:p>
    <w:p>
      <w:pPr>
        <w:spacing w:before="240" w:after="40"/>
      </w:pPr>
      <w:r>
        <w:rPr>
          <w:rFonts w:ascii="Arial" w:hAnsi="Arial"/>
          <w:b/>
          <w:color w:val="3B82F6"/>
          <w:sz w:val="28"/>
        </w:rPr>
        <w:t>Recovery</w:t>
      </w:r>
    </w:p>
    <w:p>
      <w:pPr>
        <w:spacing w:after="240"/>
      </w:pPr>
      <w:r>
        <w:rPr>
          <w:rFonts w:ascii="Calibri" w:hAnsi="Calibri"/>
          <w:color w:val="334155"/>
          <w:sz w:val="22"/>
        </w:rPr>
        <w:t>Restored normal access after verification, monitored systems for unusual activity, and confirmed no further compromise.</w:t>
      </w:r>
    </w:p>
    <w:p>
      <w:pPr>
        <w:spacing w:before="240" w:after="40"/>
      </w:pPr>
      <w:r>
        <w:rPr>
          <w:rFonts w:ascii="Arial" w:hAnsi="Arial"/>
          <w:b/>
          <w:color w:val="8B5CF6"/>
          <w:sz w:val="28"/>
        </w:rPr>
        <w:t>Lessons Learned</w:t>
      </w:r>
    </w:p>
    <w:p>
      <w:pPr>
        <w:spacing w:after="240"/>
      </w:pPr>
      <w:r>
        <w:rPr>
          <w:rFonts w:ascii="Calibri" w:hAnsi="Calibri"/>
          <w:color w:val="334155"/>
          <w:sz w:val="22"/>
        </w:rPr>
        <w:t>Users should verify email senders, avoid unknown links, enable MFA, and report suspicious emails immediately.</w:t>
      </w:r>
    </w:p>
    <w:p>
      <w:pPr>
        <w:spacing w:before="240" w:after="40"/>
      </w:pPr>
      <w:r>
        <w:rPr>
          <w:rFonts w:ascii="Arial" w:hAnsi="Arial"/>
          <w:b/>
          <w:color w:val="06B6D4"/>
          <w:sz w:val="28"/>
        </w:rPr>
        <w:t>Conclusion</w:t>
      </w:r>
    </w:p>
    <w:p>
      <w:pPr>
        <w:spacing w:after="240"/>
      </w:pPr>
      <w:r>
        <w:rPr>
          <w:rFonts w:ascii="Calibri" w:hAnsi="Calibri"/>
          <w:color w:val="334155"/>
          <w:sz w:val="22"/>
        </w:rPr>
        <w:t>The incident was successfully identified, contained, eradicated, and resolved by following the incident response lifecycle.</w:t>
      </w:r>
    </w:p>
    <w:p>
      <w:pPr>
        <w:spacing w:before="360"/>
        <w:jc w:val="center"/>
      </w:pPr>
      <w:r>
        <w:rPr>
          <w:rFonts w:ascii="Arial" w:hAnsi="Arial"/>
          <w:b/>
          <w:color w:val="64748B"/>
          <w:sz w:val="22"/>
        </w:rPr>
        <w:t>Figure 1: Event Viewer Logs (Security Audit Evidence)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1679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26725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93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