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FDP: Machine Learning for Materials and Metallurgical Engineering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13–18 July 2026 | IIT (BHU) Varanasi</w:t>
      </w:r>
    </w:p>
    <w:p>
      <w:pPr>
        <w:spacing w:after="80"/>
        <w:jc w:val="center"/>
      </w:pPr>
      <w:r>
        <w:t>Capstone Project Report</w:t>
      </w:r>
    </w:p>
    <w:p>
      <w:pPr>
        <w:pBdr>
          <w:bottom w:val="single" w:color="BFBFBF" w:sz="6" w:space="1"/>
        </w:pBdr>
        <w:spacing w:after="200"/>
      </w:pPr>
      <w:r>
        <w:t xml:space="preserv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54"/>
          <w:szCs w:val="54"/>
        </w:rPr>
        <w:t xml:space="preserve">Title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FF2C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t>Project Title: Predicting Band Gaps of SnSe-Based Materials from Composition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Name</w:t>
            </w:r>
          </w:p>
        </w:tc>
        <w:tc>
          <w:tcPr>
            <w:tcW w:type="dxa" w:w="3360"/>
          </w:tcPr>
          <w:p>
            <w:r>
              <w:t>Role</w:t>
            </w:r>
          </w:p>
        </w:tc>
        <w:tc>
          <w:tcPr>
            <w:tcW w:type="dxa" w:w="3360"/>
          </w:tcPr>
          <w:p>
            <w:r>
              <w:t>Institution</w:t>
            </w:r>
          </w:p>
        </w:tc>
      </w:tr>
      <w:tr>
        <w:tc>
          <w:tcPr>
            <w:tcW w:type="dxa" w:w="3360"/>
          </w:tcPr>
          <w:p>
            <w:r>
              <w:t>Dr. Prashant Shahi</w:t>
            </w:r>
          </w:p>
        </w:tc>
        <w:tc>
          <w:tcPr>
            <w:tcW w:type="dxa" w:w="3360"/>
          </w:tcPr>
          <w:p>
            <w:r>
              <w:t>Group Leader &amp; Modeling Lead</w:t>
            </w:r>
          </w:p>
        </w:tc>
        <w:tc>
          <w:tcPr>
            <w:tcW w:type="dxa" w:w="3360"/>
          </w:tcPr>
          <w:p>
            <w:r>
              <w:t>Deen Dayal Upadhyaya Gorakhpur University</w:t>
            </w:r>
          </w:p>
        </w:tc>
      </w:tr>
      <w:tr>
        <w:tc>
          <w:tcPr>
            <w:tcW w:type="dxa" w:w="3360"/>
          </w:tcPr>
          <w:p>
            <w:r>
              <w:t>Mrs. Akanksha</w:t>
            </w:r>
          </w:p>
        </w:tc>
        <w:tc>
          <w:tcPr>
            <w:tcW w:type="dxa" w:w="3360"/>
          </w:tcPr>
          <w:p>
            <w:r>
              <w:t>Data Lead</w:t>
            </w:r>
          </w:p>
        </w:tc>
        <w:tc>
          <w:tcPr>
            <w:tcW w:type="dxa" w:w="3360"/>
          </w:tcPr>
          <w:p>
            <w:r>
              <w:t>Chaudhary Charan Singh University, Meerut</w:t>
            </w:r>
          </w:p>
        </w:tc>
      </w:tr>
      <w:tr>
        <w:tc>
          <w:tcPr>
            <w:tcW w:type="dxa" w:w="3360"/>
          </w:tcPr>
          <w:p>
            <w:r>
              <w:t>Dr. Santosh Kumar</w:t>
            </w:r>
          </w:p>
        </w:tc>
        <w:tc>
          <w:tcPr>
            <w:tcW w:type="dxa" w:w="3360"/>
          </w:tcPr>
          <w:p>
            <w:r>
              <w:t>Preprocessing Lead</w:t>
            </w:r>
          </w:p>
        </w:tc>
        <w:tc>
          <w:tcPr>
            <w:tcW w:type="dxa" w:w="3360"/>
          </w:tcPr>
          <w:p>
            <w:r>
              <w:t>Era University</w:t>
            </w:r>
          </w:p>
        </w:tc>
      </w:tr>
      <w:tr>
        <w:tc>
          <w:tcPr>
            <w:tcW w:type="dxa" w:w="3360"/>
          </w:tcPr>
          <w:p>
            <w:r>
              <w:t>Mrs. Alfiya Mahmood</w:t>
            </w:r>
          </w:p>
        </w:tc>
        <w:tc>
          <w:tcPr>
            <w:tcW w:type="dxa" w:w="3360"/>
          </w:tcPr>
          <w:p>
            <w:r>
              <w:t>Report Lead</w:t>
            </w:r>
          </w:p>
        </w:tc>
        <w:tc>
          <w:tcPr>
            <w:tcW w:type="dxa" w:w="3360"/>
          </w:tcPr>
          <w:p>
            <w:r>
              <w:t>Era University</w:t>
            </w:r>
          </w:p>
        </w:tc>
      </w:tr>
      <w:tr>
        <w:tc>
          <w:tcPr>
            <w:tcW w:type="dxa" w:w="3360"/>
          </w:tcPr>
          <w:p>
            <w:r>
              <w:t>Dr. Nagendra Kumar Singh</w:t>
            </w:r>
          </w:p>
        </w:tc>
        <w:tc>
          <w:tcPr>
            <w:tcW w:type="dxa" w:w="3360"/>
          </w:tcPr>
          <w:p>
            <w:r>
              <w:t>Presentation Lead</w:t>
            </w:r>
          </w:p>
        </w:tc>
        <w:tc>
          <w:tcPr>
            <w:tcW w:type="dxa" w:w="3360"/>
          </w:tcPr>
          <w:p>
            <w:r>
              <w:t>Era University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54"/>
          <w:szCs w:val="54"/>
        </w:rPr>
        <w:t xml:space="preserve">1. Problem Statement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FF2C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t>Can a composition-only machine learning model predict whether a Sn-Se-based compound is a metal or an insulator, and — if an insulator — predict its band gap, using only elemental composition (no DFT, no crystal structure)? SnSe is one of the best-performing thermoelectric materials found in the last decade, and understanding how doping/alloying shifts its band gap ("band engineering") is an active research question. A fast composition-only screen lets researchers triage candidate dopants/alloys before committing to expensive DFT calculations or experiments.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54"/>
          <w:szCs w:val="54"/>
        </w:rPr>
        <w:t xml:space="preserve">2. Dataset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FF2C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t>Source: The Materials Project (materialsproject.org), queried live via the mp-api Python client, for all compounds containing both Sn and Se. Size: 220 raw entries, 192 unique compounds after removing duplicates and missing band-gap values. Features: 132 composition-derived descriptors (matminer ElementProperty, Magpie preset) computed from chemical formula only — no crystal structure used. Target: band_gap (eV) as computed by DFT and stored in the Materials Project database. Cleaning: de-duplicated by formula; dropped entries with missing band_gap or failed featurization.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54"/>
          <w:szCs w:val="54"/>
        </w:rPr>
        <w:t xml:space="preserve">3. Method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FF2C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t>Two modeling stages. (1) Classification: Logistic Regression vs. Random Forest (300 trees) predicting metal (band_gap = 0) vs. insulator (band_gap &gt; 0). (2) Regression: Random Forest (300 trees) on the insulator subset only, predicting band_gap (eV) from the same 132 features. Because the dataset (192 compounds, 136 for regression) is small relative to 132 features, 5-fold cross-validation (mean ± std) is used as the primary evaluation, alongside a single 80/20 train/test split for reference. Fixed random seed (42) throughout.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54"/>
          <w:szCs w:val="54"/>
        </w:rPr>
        <w:t xml:space="preserve">4. Results</w:t>
      </w:r>
    </w:p>
    <w:p>
      <w:pPr>
        <w:spacing w:after="60" w:before="120"/>
        <w:jc w:val="center"/>
      </w:pPr>
      <w:r>
        <w:drawing>
          <wp:inline distT="0" distB="0" distL="0" distR="0">
            <wp:extent cx="36576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>Figure 1. Predicted vs. true band gap on the held-out test set (SnSe classifier/regressor).</w:t>
      </w:r>
    </w:p>
    <w:p>
      <w:pPr>
        <w:spacing w:after="60" w:before="120"/>
        <w:jc w:val="center"/>
      </w:pPr>
      <w:r>
        <w:drawing>
          <wp:inline distT="0" distB="0" distL="0" distR="0">
            <wp:extent cx="4754880" cy="33832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>Figure 2. Top 12 features driving the band-gap regression.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FF2C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t>Classification (metal vs. insulator): Random Forest reaches 80.2% ± 3.7% 5-fold CV accuracy (vs. 78.1% ± 6.5% for Logistic Regression).</w:t>
            </w:r>
          </w:p>
          <w:p>
            <w:r>
              <w:t>Regression (band gap, insulators only): Random Forest achieves MAE = 0.357 ± 0.072 eV and R² = 0.401 ± 0.168 (5-fold CV).</w:t>
            </w:r>
          </w:p>
          <w:p>
            <w:r>
              <w:t>The single most important feature is the range of electronegativity across a compound's constituent elements, followed by other electronegativity-related and periodic-column descriptors — physically consistent with known band-engineering mechanisms in IV-VI chalcogenides.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54"/>
          <w:szCs w:val="54"/>
        </w:rPr>
        <w:t xml:space="preserve">5. Discussion &amp; Limitations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FF2C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t>A simple composition-only Random Forest gives a genuine, physically-interpretable signal for both tasks despite the small dataset. Limitation: composition-only features can't distinguish polymorphs (e.g. SnSe's room-temperature orthorhombic phase vs. its high-temperature phase) — identical formula, different structure, same features. The ~190-compound dataset is also small relative to 132 features; 5-fold cross-validation mitigates but doesn't eliminate this. With more time: add structural (not just compositional) features to resolve polymorphs, or extend to the broader IV-VI chalcogenide family (SnS, SnTe, PbSe, PbS, PbTe, GeSe, GeS, GeTe) for more data.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54"/>
          <w:szCs w:val="54"/>
        </w:rPr>
        <w:t xml:space="preserve">6. Individual Contributions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FF2C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t>Dr. Prashant Shahi (Group Leader &amp; Modeling Lead) — chose topic and dataset, coordinated the group, built and ran the modeling notebook</w:t>
            </w:r>
          </w:p>
          <w:p>
            <w:r>
              <w:t>Mrs. Akanksha (Data Lead) — sourced and queried the Materials Project dataset</w:t>
            </w:r>
          </w:p>
          <w:p>
            <w:r>
              <w:t>Dr. Santosh Kumar (Preprocessing Lead) — cleaned the data and built the composition/feature pipeline</w:t>
            </w:r>
          </w:p>
          <w:p>
            <w:r>
              <w:t>Mrs. Alfiya Mahmood (Report Lead) — wrote and formatted this report</w:t>
            </w:r>
          </w:p>
          <w:p>
            <w:r>
              <w:t>Dr. Nagendra Kumar Singh (Presentation Lead) — built the slide deck and prepared the presentation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54"/>
          <w:szCs w:val="54"/>
        </w:rPr>
        <w:t xml:space="preserve">7. Code / Notebook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FF2C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t>https://github.com/ShahiDDU/snse-bandgap-ml-capstone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a8629d3068544b1aea8a16f9c523c9cac64d7be.png"/><Relationship Id="rId8" Type="http://schemas.openxmlformats.org/officeDocument/2006/relationships/image" Target="media/ebf32ef5d52b71d3d8a227a07d59cf4f18ff8559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2026-07-15T06:41:41.153Z</dcterms:created>
  <dcterms:modified xsi:type="dcterms:W3CDTF">2026-07-15T06:41:41.164Z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