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595959"/>
          <w:sz w:val="20"/>
          <w:szCs w:val="20"/>
        </w:rPr>
        <w:t xml:space="preserve">FDP: Machine Learning for Materials and Metallurgical Engineering</w:t>
      </w:r>
    </w:p>
    <w:p>
      <w:pPr>
        <w:spacing w:after="160"/>
        <w:jc w:val="center"/>
      </w:pPr>
      <w:r>
        <w:rPr>
          <w:rFonts w:ascii="Calibri" w:cs="Calibri" w:eastAsia="Calibri" w:hAnsi="Calibri"/>
          <w:color w:val="595959"/>
          <w:sz w:val="18"/>
          <w:szCs w:val="18"/>
        </w:rPr>
        <w:t xml:space="preserve">13–18 July 2026 | IIT (BHU) Varanasi</w:t>
      </w:r>
    </w:p>
    <w:p>
      <w:pPr>
        <w:spacing w:after="80"/>
        <w:jc w:val="center"/>
      </w:pPr>
      <w:r>
        <w:t>Capstone Project Report</w:t>
      </w:r>
    </w:p>
    <w:p>
      <w:pPr>
        <w:pBdr>
          <w:bottom w:val="single" w:color="BFBFBF" w:sz="6" w:space="1"/>
        </w:pBdr>
        <w:spacing w:after="200"/>
      </w:pPr>
      <w:r>
        <w:t xml:space="preserve"/>
      </w:r>
    </w:p>
    <w:p>
      <w:pPr>
        <w:pStyle w:val="Heading1"/>
        <w:spacing w:after="140" w:before="320"/>
      </w:pPr>
      <w:r>
        <w:rPr>
          <w:rFonts w:ascii="Calibri" w:cs="Calibri" w:eastAsia="Calibri" w:hAnsi="Calibri"/>
          <w:b/>
          <w:bCs/>
          <w:color w:val="0E6B5C"/>
          <w:sz w:val="54"/>
          <w:szCs w:val="54"/>
        </w:rPr>
        <w:t xml:space="preserve">Title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E8F3F0" w:val="clear"/>
            <w:tcMar>
              <w:top w:type="dxa" w:w="160"/>
              <w:left w:type="dxa" w:w="160"/>
              <w:bottom w:type="dxa" w:w="160"/>
              <w:right w:type="dxa" w:w="160"/>
            </w:tcMar>
          </w:tcPr>
          <w:p>
            <w:r>
              <w:t>Project Title: Predicting Band Gaps of SnSe-Based Materials from Composition</w:t>
            </w:r>
          </w:p>
        </w:tc>
      </w:tr>
    </w:tbl>
    <w:tbl>
      <w:tblPr>
        <w:tblW w:type="auto" w:w="0"/>
        <w:tblLook w:firstColumn="1" w:firstRow="1" w:lastColumn="0" w:lastRow="0" w:noHBand="0" w:noVBand="1" w:val="04A0"/>
      </w:tblPr>
      <w:tblGrid>
        <w:gridCol w:w="3360"/>
        <w:gridCol w:w="3360"/>
        <w:gridCol w:w="3360"/>
      </w:tblGrid>
      <w:tr>
        <w:tc>
          <w:tcPr>
            <w:tcW w:type="dxa" w:w="3360"/>
          </w:tcPr>
          <w:p>
            <w:r>
              <w:t>Name</w:t>
            </w:r>
          </w:p>
        </w:tc>
        <w:tc>
          <w:tcPr>
            <w:tcW w:type="dxa" w:w="3360"/>
          </w:tcPr>
          <w:p>
            <w:r>
              <w:t>Role</w:t>
            </w:r>
          </w:p>
        </w:tc>
        <w:tc>
          <w:tcPr>
            <w:tcW w:type="dxa" w:w="3360"/>
          </w:tcPr>
          <w:p>
            <w:r>
              <w:t>Institution</w:t>
            </w:r>
          </w:p>
        </w:tc>
      </w:tr>
      <w:tr>
        <w:tc>
          <w:tcPr>
            <w:tcW w:type="dxa" w:w="3360"/>
          </w:tcPr>
          <w:p>
            <w:r>
              <w:t>Dr. Prashant Shahi</w:t>
            </w:r>
          </w:p>
        </w:tc>
        <w:tc>
          <w:tcPr>
            <w:tcW w:type="dxa" w:w="3360"/>
          </w:tcPr>
          <w:p>
            <w:r>
              <w:t>Group Leader &amp; Modeling Lead</w:t>
            </w:r>
          </w:p>
        </w:tc>
        <w:tc>
          <w:tcPr>
            <w:tcW w:type="dxa" w:w="3360"/>
          </w:tcPr>
          <w:p>
            <w:r>
              <w:t>Deen Dayal Upadhyaya Gorakhpur University</w:t>
            </w:r>
          </w:p>
        </w:tc>
      </w:tr>
      <w:tr>
        <w:tc>
          <w:tcPr>
            <w:tcW w:type="dxa" w:w="3360"/>
          </w:tcPr>
          <w:p>
            <w:r>
              <w:t>Mrs. Akanksha</w:t>
            </w:r>
          </w:p>
        </w:tc>
        <w:tc>
          <w:tcPr>
            <w:tcW w:type="dxa" w:w="3360"/>
          </w:tcPr>
          <w:p>
            <w:r>
              <w:t>Data Lead</w:t>
            </w:r>
          </w:p>
        </w:tc>
        <w:tc>
          <w:tcPr>
            <w:tcW w:type="dxa" w:w="3360"/>
          </w:tcPr>
          <w:p>
            <w:r>
              <w:t>Chaudhary Charan Singh University, Meerut</w:t>
            </w:r>
          </w:p>
        </w:tc>
      </w:tr>
      <w:tr>
        <w:tc>
          <w:tcPr>
            <w:tcW w:type="dxa" w:w="3360"/>
          </w:tcPr>
          <w:p>
            <w:r>
              <w:t>Dr. Santosh Kumar</w:t>
            </w:r>
          </w:p>
        </w:tc>
        <w:tc>
          <w:tcPr>
            <w:tcW w:type="dxa" w:w="3360"/>
          </w:tcPr>
          <w:p>
            <w:r>
              <w:t>Preprocessing Lead</w:t>
            </w:r>
          </w:p>
        </w:tc>
        <w:tc>
          <w:tcPr>
            <w:tcW w:type="dxa" w:w="3360"/>
          </w:tcPr>
          <w:p>
            <w:r>
              <w:t>Era University</w:t>
            </w:r>
          </w:p>
        </w:tc>
      </w:tr>
      <w:tr>
        <w:tc>
          <w:tcPr>
            <w:tcW w:type="dxa" w:w="3360"/>
          </w:tcPr>
          <w:p>
            <w:r>
              <w:t>Mrs. Alfiya Mahmood</w:t>
            </w:r>
          </w:p>
        </w:tc>
        <w:tc>
          <w:tcPr>
            <w:tcW w:type="dxa" w:w="3360"/>
          </w:tcPr>
          <w:p>
            <w:r>
              <w:t>Report Lead</w:t>
            </w:r>
          </w:p>
        </w:tc>
        <w:tc>
          <w:tcPr>
            <w:tcW w:type="dxa" w:w="3360"/>
          </w:tcPr>
          <w:p>
            <w:r>
              <w:t>Era University</w:t>
            </w:r>
          </w:p>
        </w:tc>
      </w:tr>
      <w:tr>
        <w:tc>
          <w:tcPr>
            <w:tcW w:type="dxa" w:w="3360"/>
          </w:tcPr>
          <w:p>
            <w:r>
              <w:t>Dr. Nagendra Kumar Singh</w:t>
            </w:r>
          </w:p>
        </w:tc>
        <w:tc>
          <w:tcPr>
            <w:tcW w:type="dxa" w:w="3360"/>
          </w:tcPr>
          <w:p>
            <w:r>
              <w:t>Presentation Lead</w:t>
            </w:r>
          </w:p>
        </w:tc>
        <w:tc>
          <w:tcPr>
            <w:tcW w:type="dxa" w:w="3360"/>
          </w:tcPr>
          <w:p>
            <w:r>
              <w:t>Era University</w:t>
            </w:r>
          </w:p>
        </w:tc>
      </w:tr>
    </w:tbl>
    <w:p>
      <w:pPr>
        <w:pStyle w:val="Heading1"/>
        <w:spacing w:after="140" w:before="320"/>
      </w:pPr>
      <w:r>
        <w:rPr>
          <w:rFonts w:ascii="Calibri" w:cs="Calibri" w:eastAsia="Calibri" w:hAnsi="Calibri"/>
          <w:b/>
          <w:bCs/>
          <w:color w:val="0E6B5C"/>
          <w:sz w:val="54"/>
          <w:szCs w:val="54"/>
        </w:rPr>
        <w:t xml:space="preserve">1. Problem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E8F3F0" w:val="clear"/>
            <w:tcMar>
              <w:top w:type="dxa" w:w="160"/>
              <w:left w:type="dxa" w:w="160"/>
              <w:bottom w:type="dxa" w:w="160"/>
              <w:right w:type="dxa" w:w="160"/>
            </w:tcMar>
          </w:tcPr>
          <w:p>
            <w:r>
              <w:t>Can a composition-only machine learning model predict whether a Sn-Se-based compound is a metal or an insulator, and — if an insulator — predict its band gap, using only elemental composition (no DFT, no crystal structure)?</w:t>
              <w:br/>
              <w:br/>
              <w:t>SnSe is one of the best thermoelectric materials found in the last ten years — it turns heat into electricity efficiently. Scientists try adding small amounts of other elements, such as lead, sulfur, tellurium, or silver, to make it work even better. But testing every possible combination in the lab, or with expensive supercomputer calculations (DFT), takes a lot of time and money. A quick computer model that only needs the chemical formula can act as a first filter — it tells scientists which combinations are worth testing further, before they spend time and money on slower methods. This project builds two such models: one that predicts metal-or-insulator, and one that predicts the band gap size for insulators.</w:t>
            </w:r>
          </w:p>
        </w:tc>
      </w:tr>
    </w:tbl>
    <w:p>
      <w:pPr>
        <w:pStyle w:val="Heading1"/>
        <w:spacing w:after="140" w:before="320"/>
      </w:pPr>
      <w:r>
        <w:rPr>
          <w:rFonts w:ascii="Calibri" w:cs="Calibri" w:eastAsia="Calibri" w:hAnsi="Calibri"/>
          <w:b/>
          <w:bCs/>
          <w:color w:val="0E6B5C"/>
          <w:sz w:val="54"/>
          <w:szCs w:val="54"/>
        </w:rPr>
        <w:t xml:space="preserve">2. Dataset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E8F3F0" w:val="clear"/>
            <w:tcMar>
              <w:top w:type="dxa" w:w="160"/>
              <w:left w:type="dxa" w:w="160"/>
              <w:bottom w:type="dxa" w:w="160"/>
              <w:right w:type="dxa" w:w="160"/>
            </w:tcMar>
          </w:tcPr>
          <w:p>
            <w:r>
              <w:t>Source: The Materials Project (materialsproject.org), queried live via the mp-api Python client, for all compounds containing both Sn and Se.</w:t>
              <w:br/>
              <w:br/>
              <w:t>We started with 220 raw results from the database and removed duplicate entries and any compound missing a band gap value, leaving 192 unique compounds. Each formula was turned into 132 numeric “features” — things like average electronegativity, atomic size, and valence electron count — using a tool called matminer. No crystal structure information was used, only the formula, which keeps the whole pipeline fast and simple. About seven in ten compounds are insulators and three in ten are metals; this imbalance is why we check model performance carefully, using cross-validation, rather than trusting a single accuracy number.</w:t>
              <w:br/>
              <w:br/>
              <w:t>Target: band_gap (eV), as computed by DFT and stored in the Materials Project database. Cleaning: de-duplicated by formula; dropped entries with missing band_gap or failed featurization.</w:t>
            </w:r>
          </w:p>
        </w:tc>
      </w:tr>
    </w:tbl>
    <w:p>
      <w:pPr>
        <w:pStyle w:val="Heading1"/>
        <w:spacing w:after="140" w:before="320"/>
      </w:pPr>
      <w:r>
        <w:rPr>
          <w:rFonts w:ascii="Calibri" w:cs="Calibri" w:eastAsia="Calibri" w:hAnsi="Calibri"/>
          <w:b/>
          <w:bCs/>
          <w:color w:val="0E6B5C"/>
          <w:sz w:val="54"/>
          <w:szCs w:val="54"/>
        </w:rPr>
        <w:t xml:space="preserve">3. Method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E8F3F0" w:val="clear"/>
            <w:tcMar>
              <w:top w:type="dxa" w:w="160"/>
              <w:left w:type="dxa" w:w="160"/>
              <w:bottom w:type="dxa" w:w="160"/>
              <w:right w:type="dxa" w:w="160"/>
            </w:tcMar>
          </w:tcPr>
          <w:p>
            <w:r>
              <w:t>We build two models. First, a classifier decides whether a compound is a metal or an insulator — we compare a simple method (Logistic Regression) against a more flexible one (Random Forest, 300 decision trees) to see which works better. Second, for compounds that are insulators, a Random Forest regressor predicts the actual band gap value in electron-volts (eV).</w:t>
              <w:br/>
              <w:br/>
              <w:t>Random Forest is a good default choice for this kind of chemistry data because it can capture curved, non-obvious relationships between composition and properties, and it tells us afterward which features mattered most — useful for a materials scientist trying to understand why, not just what.</w:t>
              <w:br/>
              <w:br/>
              <w:t>Because we only have a few hundred compounds compared to 132 features, testing on a single random split can give a misleading score — a lucky or unlucky split can shift the numbers substantially. Instead we use 5-fold cross-validation: the data is split into 5 groups, the model is trained on 4 of them and tested on the 1 left out, and this is repeated 5 times so every compound gets tested exactly once. Averaging over these 5 runs gives a far more trustworthy score than any single split. Fixed random seed (42) throughout for reproducibility.</w:t>
            </w:r>
          </w:p>
        </w:tc>
      </w:tr>
    </w:tbl>
    <w:p>
      <w:pPr>
        <w:pStyle w:val="Heading1"/>
        <w:spacing w:after="140" w:before="320"/>
      </w:pPr>
      <w:r>
        <w:rPr>
          <w:rFonts w:ascii="Calibri" w:cs="Calibri" w:eastAsia="Calibri" w:hAnsi="Calibri"/>
          <w:b/>
          <w:bCs/>
          <w:color w:val="0E6B5C"/>
          <w:sz w:val="54"/>
          <w:szCs w:val="54"/>
        </w:rPr>
        <w:t xml:space="preserve">4. Results</w:t>
      </w:r>
    </w:p>
    <w:p>
      <w:pPr>
        <w:spacing w:after="60" w:before="120"/>
        <w:jc w:val="center"/>
      </w:pPr>
      <w:r>
        <w:drawing>
          <wp:inline distT="0" distB="0" distL="0" distR="0">
            <wp:extent cx="3657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57600" cy="3657600"/>
                    </a:xfrm>
                    <a:prstGeom prst="rect">
                      <a:avLst/>
                    </a:prstGeom>
                  </pic:spPr>
                </pic:pic>
              </a:graphicData>
            </a:graphic>
          </wp:inline>
        </w:drawing>
      </w:r>
    </w:p>
    <w:p>
      <w:pPr>
        <w:spacing w:after="200"/>
        <w:jc w:val="center"/>
      </w:pPr>
      <w:r>
        <w:t>Figure 1. Predicted vs. true band gap on the held-out test set (SnSe classifier/regressor).</w:t>
      </w:r>
    </w:p>
    <w:p>
      <w:pPr>
        <w:spacing w:after="60" w:before="120"/>
        <w:jc w:val="center"/>
      </w:pPr>
      <w:r>
        <w:drawing>
          <wp:inline distT="0" distB="0" distL="0" distR="0">
            <wp:extent cx="475488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4880" cy="3383280"/>
                    </a:xfrm>
                    <a:prstGeom prst="rect">
                      <a:avLst/>
                    </a:prstGeom>
                  </pic:spPr>
                </pic:pic>
              </a:graphicData>
            </a:graphic>
          </wp:inline>
        </w:drawing>
      </w:r>
    </w:p>
    <w:p>
      <w:pPr>
        <w:spacing w:after="200"/>
        <w:jc w:val="center"/>
      </w:pPr>
      <w:r>
        <w:t>Figure 2. Top 12 features driving the band-gap regression.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E8F3F0" w:val="clear"/>
            <w:tcMar>
              <w:top w:type="dxa" w:w="160"/>
              <w:left w:type="dxa" w:w="160"/>
              <w:bottom w:type="dxa" w:w="160"/>
              <w:right w:type="dxa" w:w="160"/>
            </w:tcMar>
          </w:tcPr>
          <w:p>
            <w:r>
              <w:t>Classification (metal vs. insulator): Random Forest reaches 80.2% ± 3.7% 5-fold CV accuracy (vs. 78.1% ± 6.5% for Logistic Regression).</w:t>
            </w:r>
          </w:p>
          <w:p>
            <w:r>
              <w:t>Regression (band gap, insulators only): Random Forest achieves MAE = 0.357 ± 0.072 eV and R² = 0.401 ± 0.168 (5-fold CV).</w:t>
            </w:r>
          </w:p>
          <w:p>
            <w:r>
              <w:t>The single most important feature is the range of electronegativity across a compound's constituent elements, followed by other electronegativity-related and periodic-column descriptors — physically consistent with known band-engineering mechanisms in IV-VI chalcogenides.</w:t>
            </w:r>
          </w:p>
        </w:tc>
      </w:tr>
    </w:tbl>
    <w:p>
      <w:pPr>
        <w:pStyle w:val="Heading1"/>
        <w:spacing w:after="140" w:before="320"/>
      </w:pPr>
      <w:r>
        <w:rPr>
          <w:rFonts w:ascii="Calibri" w:cs="Calibri" w:eastAsia="Calibri" w:hAnsi="Calibri"/>
          <w:b/>
          <w:bCs/>
          <w:color w:val="0E6B5C"/>
          <w:sz w:val="54"/>
          <w:szCs w:val="54"/>
        </w:rPr>
        <w:t xml:space="preserve">5. Discussion &amp; Limitations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E8F3F0" w:val="clear"/>
            <w:tcMar>
              <w:top w:type="dxa" w:w="160"/>
              <w:left w:type="dxa" w:w="160"/>
              <w:bottom w:type="dxa" w:w="160"/>
              <w:right w:type="dxa" w:w="160"/>
            </w:tcMar>
          </w:tcPr>
          <w:p>
            <w:r>
              <w:t>Using only the chemical formula, our Random Forest model correctly labels a compound as metal or insulator about 80% of the time, and predicts the band gap of insulators to within about 0.36 eV on average. That is not perfect, but it is a genuinely useful first filter — good enough to quickly narrow down a long list of candidate dopants and alloys before spending time on slow, expensive DFT calculations or lab experiments.</w:t>
              <w:br/>
              <w:br/>
              <w:t>The model has real limits worth stating plainly. It only sees the chemical formula, so it cannot tell apart two compounds that share the exact same formula but have different crystal structures — for example, SnSe's everyday room-temperature form and its high-temperature form are treated as identical inputs, even though their band gaps differ. The dataset is also fairly small (about 190 compounds) compared to the 132 numbers used to describe each one, so results can vary somewhat between different train/test splits; this is exactly why we relied on 5-fold cross-validation rather than a single split, and why the report quotes cross-validated numbers as the headline result rather than the noisier single-split ones.</w:t>
              <w:br/>
              <w:br/>
              <w:t>A natural next step would be adding structural information (not just composition) to distinguish polymorphs, or gathering more compounds from the wider family of similar materials — SnS, SnTe, PbSe, PbS, PbTe, GeSe, GeS, and GeTe — to grow the dataset.</w:t>
            </w:r>
          </w:p>
        </w:tc>
      </w:tr>
    </w:tbl>
    <w:p>
      <w:pPr>
        <w:pStyle w:val="Heading1"/>
        <w:spacing w:after="140" w:before="320"/>
      </w:pPr>
      <w:r>
        <w:rPr>
          <w:rFonts w:ascii="Calibri" w:cs="Calibri" w:eastAsia="Calibri" w:hAnsi="Calibri"/>
          <w:b/>
          <w:bCs/>
          <w:color w:val="0E6B5C"/>
          <w:sz w:val="54"/>
          <w:szCs w:val="54"/>
        </w:rPr>
        <w:t xml:space="preserve">6. Individual Contributions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E8F3F0" w:val="clear"/>
            <w:tcMar>
              <w:top w:type="dxa" w:w="160"/>
              <w:left w:type="dxa" w:w="160"/>
              <w:bottom w:type="dxa" w:w="160"/>
              <w:right w:type="dxa" w:w="160"/>
            </w:tcMar>
          </w:tcPr>
          <w:p>
            <w:r>
              <w:t>Dr. Prashant Shahi (Group Leader &amp; Modeling Lead) — chose topic and dataset, coordinated the group, built and ran the modeling notebook</w:t>
            </w:r>
          </w:p>
          <w:p>
            <w:r>
              <w:t>Mrs. Akanksha (Data Lead) — sourced and queried the Materials Project dataset</w:t>
            </w:r>
          </w:p>
          <w:p>
            <w:r>
              <w:t>Dr. Santosh Kumar (Preprocessing Lead) — cleaned the data and built the composition/feature pipeline</w:t>
            </w:r>
          </w:p>
          <w:p>
            <w:r>
              <w:t>Mrs. Alfiya Mahmood (Report Lead) — wrote and formatted this report</w:t>
            </w:r>
          </w:p>
          <w:p>
            <w:r>
              <w:t>Dr. Nagendra Kumar Singh (Presentation Lead) — built the slide deck and prepared the presentation</w:t>
            </w:r>
          </w:p>
        </w:tc>
      </w:tr>
    </w:tbl>
    <w:p>
      <w:pPr>
        <w:pStyle w:val="Heading1"/>
        <w:spacing w:after="140" w:before="320"/>
      </w:pPr>
      <w:r>
        <w:rPr>
          <w:rFonts w:ascii="Calibri" w:cs="Calibri" w:eastAsia="Calibri" w:hAnsi="Calibri"/>
          <w:b/>
          <w:bCs/>
          <w:color w:val="0E6B5C"/>
          <w:sz w:val="54"/>
          <w:szCs w:val="54"/>
        </w:rPr>
        <w:t xml:space="preserve">7. Code / Notebook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E8F3F0" w:val="clear"/>
            <w:tcMar>
              <w:top w:type="dxa" w:w="160"/>
              <w:left w:type="dxa" w:w="160"/>
              <w:bottom w:type="dxa" w:w="160"/>
              <w:right w:type="dxa" w:w="160"/>
            </w:tcMar>
          </w:tcPr>
          <w:p>
            <w:r>
              <w:t>https://github.com/ShahiDDU/snse-bandgap-ml-capstone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E6B5C"/>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8629d3068544b1aea8a16f9c523c9cac64d7be.png"/><Relationship Id="rId8" Type="http://schemas.openxmlformats.org/officeDocument/2006/relationships/image" Target="media/ebf32ef5d52b71d3d8a227a07d59cf4f18ff8559.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2026-07-15T06:41:41.153Z</dcterms:created>
  <dcterms:modified xsi:type="dcterms:W3CDTF">2026-07-15T06:41:41.164Z</dcterms:modified>
</cp:coreProperties>
</file>

<file path=docProps/custom.xml><?xml version="1.0" encoding="utf-8"?>
<Properties xmlns="http://schemas.openxmlformats.org/officeDocument/2006/custom-properties" xmlns:vt="http://schemas.openxmlformats.org/officeDocument/2006/docPropsVTypes"/>
</file>