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Band Gaps of SnSe-Based Materials from Composition</w:t>
      </w:r>
    </w:p>
    <w:p>
      <w:pPr>
        <w:pStyle w:val="FirstParagraph"/>
      </w:pPr>
      <w:r>
        <w:rPr>
          <w:b/>
          <w:bCs/>
        </w:rPr>
        <w:t xml:space="preserve">Capstone Project — Machine Learning for Materials and Metallurgical Engineering</w:t>
      </w:r>
      <w:r>
        <w:t xml:space="preserve"> </w:t>
      </w:r>
      <w:r>
        <w:rPr>
          <w:b/>
          <w:bCs/>
        </w:rPr>
        <w:t xml:space="preserve">UGC Malaviya Mission Teacher Training Programme, 13–18 July 2026</w:t>
      </w:r>
    </w:p>
    <w:p>
      <w:pPr>
        <w:pStyle w:val="BodyText"/>
      </w:pPr>
      <w:r>
        <w:rPr>
          <w:b/>
          <w:bCs/>
        </w:rPr>
        <w:t xml:space="preserve">Group members and roles:</w:t>
      </w:r>
    </w:p>
    <w:tbl>
      <w:tblPr>
        <w:tblStyle w:val="Table"/>
        <w:tblW w:type="pct" w:w="500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Prashant Shahi</w:t>
            </w:r>
          </w:p>
        </w:tc>
        <w:tc>
          <w:tcPr/>
          <w:p>
            <w:pPr>
              <w:pStyle w:val="Compact"/>
            </w:pPr>
            <w:r>
              <w:t xml:space="preserve">Group Leader &amp; Modeling Lead</w:t>
            </w:r>
          </w:p>
        </w:tc>
        <w:tc>
          <w:tcPr/>
          <w:p>
            <w:pPr>
              <w:pStyle w:val="Compact"/>
            </w:pPr>
            <w:r>
              <w:t xml:space="preserve">Deen Dayal Upadhyaya Gorakhpur University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Akanksha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Data Lead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Chaudhary Charan Singh University, Meerut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Santosh Kumar</w:t>
            </w:r>
          </w:p>
        </w:tc>
        <w:tc>
          <w:tcPr/>
          <w:p>
            <w:pPr>
              <w:pStyle w:val="Compact"/>
            </w:pPr>
            <w:r>
              <w:t xml:space="preserve">Preprocessing Lead</w:t>
            </w:r>
          </w:p>
        </w:tc>
        <w:tc>
          <w:tcPr/>
          <w:p>
            <w:pPr>
              <w:pStyle w:val="Compact"/>
            </w:pPr>
            <w:r>
              <w:t xml:space="preserve">Era University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Alfiya Mahmood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Report Lead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Era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Nagendra Kumar Singh</w:t>
            </w:r>
          </w:p>
        </w:tc>
        <w:tc>
          <w:tcPr/>
          <w:p>
            <w:pPr>
              <w:pStyle w:val="Compact"/>
            </w:pPr>
            <w:r>
              <w:t xml:space="preserve">Presentation Lead</w:t>
            </w:r>
          </w:p>
        </w:tc>
        <w:tc>
          <w:tcPr/>
          <w:p>
            <w:pPr>
              <w:pStyle w:val="Compact"/>
            </w:pPr>
            <w:r>
              <w:t xml:space="preserve">Era University</w:t>
            </w:r>
          </w:p>
        </w:tc>
      </w:tr>
    </w:tbl>
    <w:p>
      <w:pPr>
        <w:pStyle w:val="BodyText"/>
      </w:pPr>
      <w:r>
        <w:rPr>
          <w:i/>
          <w:iCs/>
        </w:rPr>
        <w:t xml:space="preserve">Roles as agreed among group members; please confirm/adjust before submission.</w:t>
      </w:r>
    </w:p>
    <w:p>
      <w:r>
        <w:pict>
          <v:rect style="width:0;height:1.5pt" o:hralign="center" o:hrstd="t" o:hr="t"/>
        </w:pict>
      </w:r>
    </w:p>
    <w:bookmarkStart w:id="9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Single-crystal SnSe is one of the best-performing thermoelectric materials discovered in the last decade, and its narrow, doping-tunable band gap is central to its performance: the right gap and band structure enable the high Seebeck coefficient and low thermal conductivity that make a material a good thermoelectric. Materials scientists routinely explore doping and alloying SnSe (with Pb, Ge, S, Te, Ag, Na, halides, and others) to engineer this gap — a process traditionally guided by expensive DFT calculations or trial-and-error synthesis.</w:t>
      </w:r>
    </w:p>
    <w:p>
      <w:pPr>
        <w:pStyle w:val="BodyText"/>
      </w:pPr>
      <w:r>
        <w:t xml:space="preserve">This project asks:</w:t>
      </w:r>
      <w:r>
        <w:t xml:space="preserve"> </w:t>
      </w:r>
      <w:r>
        <w:rPr>
          <w:b/>
          <w:bCs/>
        </w:rPr>
        <w:t xml:space="preserve">can a simple, composition-only machine learning model predict whether a Sn-Se-based compound is a metal or an insulator, and if an insulator, predict its band gap — using only elemental composition, without any DFT calculation or crystal structure input?</w:t>
      </w:r>
      <w:r>
        <w:t xml:space="preserve"> </w:t>
      </w:r>
      <w:r>
        <w:t xml:space="preserve">A model like this would let researchers rapidly triage candidate dopants/alloys before committing computational or experimental resources.</w:t>
      </w:r>
    </w:p>
    <w:bookmarkEnd w:id="9"/>
    <w:bookmarkStart w:id="16" w:name="dataset"/>
    <w:p>
      <w:pPr>
        <w:pStyle w:val="Heading2"/>
      </w:pPr>
      <w:r>
        <w:t xml:space="preserve">2. Dataset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Source:</w:t>
      </w:r>
      <w:r>
        <w:t xml:space="preserve"> </w:t>
      </w:r>
      <w:r>
        <w:t xml:space="preserve">The Materials Project (materialsproject.org), queried live via the</w:t>
      </w:r>
      <w:r>
        <w:t xml:space="preserve"> </w:t>
      </w:r>
      <w:r>
        <w:rPr>
          <w:rStyle w:val="VerbatimChar"/>
        </w:rPr>
        <w:t xml:space="preserve">mp-api</w:t>
      </w:r>
      <w:r>
        <w:t xml:space="preserve"> </w:t>
      </w:r>
      <w:r>
        <w:t xml:space="preserve">Python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scope:</w:t>
      </w:r>
      <w:r>
        <w:t xml:space="preserve"> </w:t>
      </w:r>
      <w:r>
        <w:t xml:space="preserve">all computed compounds containing</w:t>
      </w:r>
      <w:r>
        <w:t xml:space="preserve"> </w:t>
      </w:r>
      <w:r>
        <w:rPr>
          <w:b/>
          <w:bCs/>
        </w:rPr>
        <w:t xml:space="preserve">both Sn and Se</w:t>
      </w:r>
      <w:r>
        <w:t xml:space="preserve"> </w:t>
      </w:r>
      <w:r>
        <w:t xml:space="preserve">(the SnSe binary system plus any ternary/quaternary/quinary doped or alloyed derivative, e.g. Sn-Se-Pb, Sn-Se-S, Sn-Se-Ag), 2–7 elements.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size:</w:t>
      </w:r>
      <w:r>
        <w:t xml:space="preserve"> </w:t>
      </w:r>
      <w:r>
        <w:t xml:space="preserve">220 entries.</w:t>
      </w:r>
      <w:r>
        <w:t xml:space="preserve"> </w:t>
      </w:r>
      <w:r>
        <w:rPr>
          <w:b/>
          <w:bCs/>
        </w:rPr>
        <w:t xml:space="preserve">After removing duplicate formulas and missing band-gap values:</w:t>
      </w:r>
      <w:r>
        <w:t xml:space="preserve"> </w:t>
      </w:r>
      <w:r>
        <w:t xml:space="preserve">192 unique compounds.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variable:</w:t>
      </w:r>
      <w:r>
        <w:t xml:space="preserve"> 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(eV), as computed by DFT and stored in the Materials Project database.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136 insulators (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&gt; 0, 71%) vs. 56 metals (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= 0, 29%).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Features:</w:t>
      </w:r>
      <w:r>
        <w:t xml:space="preserve"> </w:t>
      </w:r>
      <w:r>
        <w:t xml:space="preserve">each compound’s formula was converted to a</w:t>
      </w:r>
      <w:r>
        <w:t xml:space="preserve"> </w:t>
      </w:r>
      <w:r>
        <w:rPr>
          <w:rStyle w:val="VerbatimChar"/>
        </w:rPr>
        <w:t xml:space="preserve">pymatgen.Composition</w:t>
      </w:r>
      <w:r>
        <w:t xml:space="preserve"> </w:t>
      </w:r>
      <w:r>
        <w:t xml:space="preserve">object and featurized with matminer’s</w:t>
      </w:r>
      <w:r>
        <w:t xml:space="preserve"> </w:t>
      </w:r>
      <w:r>
        <w:rPr>
          <w:rStyle w:val="VerbatimChar"/>
        </w:rPr>
        <w:t xml:space="preserve">ElementProperty.from_preset("magpie")</w:t>
      </w:r>
      <w:r>
        <w:t xml:space="preserve">, producing 132 composition-derived descriptors (statistics — mean, range, average deviation, etc. — of electronegativity, atomic radius, valence electron counts, melting point, and other elemental properties). No crystal-structure information was used, only chemical formula.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Band gap distribution across the 192 Sn-Se-based compounds" title="" id="11" name="Picture"/>
            <a:graphic>
              <a:graphicData uri="http://schemas.openxmlformats.org/drawingml/2006/picture">
                <pic:pic>
                  <pic:nvPicPr>
                    <pic:cNvPr descr="figures/bandgap_his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Band gap distribution across the 192 Sn-Se-based compounds</w:t>
      </w:r>
    </w:p>
    <w:p>
      <w:pPr>
        <w:pStyle w:val="CaptionedFigure"/>
      </w:pPr>
      <w:r>
        <w:drawing>
          <wp:inline>
            <wp:extent cx="3657600" cy="3657600"/>
            <wp:effectExtent b="0" l="0" r="0" t="0"/>
            <wp:docPr descr="Class balance between metals and insulators" title="" id="14" name="Picture"/>
            <a:graphic>
              <a:graphicData uri="http://schemas.openxmlformats.org/drawingml/2006/picture">
                <pic:pic>
                  <pic:nvPicPr>
                    <pic:cNvPr descr="figures/class_balan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 between metals and insulators</w:t>
      </w:r>
    </w:p>
    <w:p>
      <w:pPr>
        <w:pStyle w:val="BodyText"/>
      </w:pPr>
      <w:r>
        <w:rPr>
          <w:b/>
          <w:bCs/>
        </w:rPr>
        <w:t xml:space="preserve">Note on dataset size:</w:t>
      </w:r>
      <w:r>
        <w:t xml:space="preserve"> </w:t>
      </w:r>
      <w:r>
        <w:t xml:space="preserve">192 compounds is small relative to 132 features. This is a real, verified constraint (not an estimate) — we queried the live API rather than assuming a larger dataset. We address it methodologically in Section 3 rather than by inflating the dataset with unrelated compounds.</w:t>
      </w:r>
    </w:p>
    <w:bookmarkEnd w:id="16"/>
    <w:bookmarkStart w:id="17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t xml:space="preserve">Two modeling stages, both using the course’s regression/classification/Random Forest techniques:</w:t>
      </w:r>
    </w:p>
    <w:p>
      <w:pPr>
        <w:pStyle w:val="BodyText"/>
      </w:pPr>
      <w:r>
        <w:rPr>
          <w:b/>
          <w:bCs/>
        </w:rPr>
        <w:t xml:space="preserve">Stage 1 — Classification (metal vs. insulator).</w:t>
      </w:r>
      <w:r>
        <w:t xml:space="preserve"> </w:t>
      </w:r>
      <w:r>
        <w:t xml:space="preserve">Target:</w:t>
      </w:r>
      <w:r>
        <w:t xml:space="preserve"> </w:t>
      </w:r>
      <w:r>
        <w:rPr>
          <w:rStyle w:val="VerbatimChar"/>
        </w:rPr>
        <w:t xml:space="preserve">is_metal = 1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band_gap == 0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0</w:t>
      </w:r>
      <w:r>
        <w:t xml:space="preserve">. Two models compared:</w:t>
      </w:r>
    </w:p>
    <w:p>
      <w:pPr>
        <w:pStyle w:val="Compact"/>
        <w:numPr>
          <w:ilvl w:val="0"/>
          <w:numId w:val="1002"/>
        </w:numPr>
      </w:pPr>
      <w:r>
        <w:t xml:space="preserve">Logistic Regression (features standardized first)</w:t>
      </w:r>
    </w:p>
    <w:p>
      <w:pPr>
        <w:pStyle w:val="Compact"/>
        <w:numPr>
          <w:ilvl w:val="0"/>
          <w:numId w:val="1002"/>
        </w:numPr>
      </w:pPr>
      <w:r>
        <w:t xml:space="preserve">Random Forest Classifier (300 trees)</w:t>
      </w:r>
    </w:p>
    <w:p>
      <w:pPr>
        <w:pStyle w:val="FirstParagraph"/>
      </w:pPr>
      <w:r>
        <w:rPr>
          <w:b/>
          <w:bCs/>
        </w:rPr>
        <w:t xml:space="preserve">Stage 2 — Regression (band gap magnitude).</w:t>
      </w:r>
      <w:r>
        <w:t xml:space="preserve"> </w:t>
      </w:r>
      <w:r>
        <w:t xml:space="preserve">Restricted to the 136 insulators. Model: Random Forest Regressor (300 trees), predicting</w:t>
      </w:r>
      <w:r>
        <w:t xml:space="preserve"> 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(eV) from the same 132 Magpie features.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Because the dataset is small (192 compounds, 136 for regression), a single 80/20 train/test split gives a noisy performance estimate — different random splits can shift accuracy or R² substantially. We therefore report</w:t>
      </w:r>
      <w:r>
        <w:t xml:space="preserve"> </w:t>
      </w:r>
      <w:r>
        <w:rPr>
          <w:b/>
          <w:bCs/>
        </w:rPr>
        <w:t xml:space="preserve">5-fold cross-validation</w:t>
      </w:r>
      <w:r>
        <w:t xml:space="preserve"> </w:t>
      </w:r>
      <w:r>
        <w:t xml:space="preserve">(mean ± standard deviation across 5 splits) as the primary metric, alongside the single-split result for reference. All models use a fixed random seed (42) for reproducibility.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Random Forest feature importances were extracted from the regression model to identify which elemental descriptors most influence predicted band gap.</w:t>
      </w:r>
    </w:p>
    <w:bookmarkEnd w:id="17"/>
    <w:bookmarkStart w:id="31" w:name="results-and-discussion"/>
    <w:p>
      <w:pPr>
        <w:pStyle w:val="Heading2"/>
      </w:pPr>
      <w:r>
        <w:t xml:space="preserve">4. Results and Discussion</w:t>
      </w:r>
    </w:p>
    <w:bookmarkStart w:id="21" w:name="classification-metal-vs.-insulator"/>
    <w:p>
      <w:pPr>
        <w:pStyle w:val="Heading3"/>
      </w:pPr>
      <w:r>
        <w:t xml:space="preserve">4.1 Classification: metal vs. insulator</w:t>
      </w:r>
    </w:p>
    <w:tbl>
      <w:tblPr>
        <w:tblStyle w:val="Table"/>
        <w:tblW w:type="pct" w:w="500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Single 80/20 split accuracy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5-fold CV accuracy (mean ± std)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0.781 ± 0.065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Random Forest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0.846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rPr>
                <w:b/>
                <w:bCs/>
              </w:rPr>
              <w:t xml:space="preserve">0.802 ± 0.037</w:t>
            </w:r>
          </w:p>
        </w:tc>
      </w:tr>
    </w:tbl>
    <w:p>
      <w:pPr>
        <w:pStyle w:val="BodyText"/>
      </w:pPr>
      <w:r>
        <w:t xml:space="preserve">Random Forest outperforms the linear baseline and is more stable across folds (lower std). The single-split number for Random Forest (0.846) looks better than the cross-validated one (0.802) — this is exactly the small-N noise the cross-validation is meant to catch, and it is the 0.802 figure we treat as the honest estimate.</w:t>
      </w:r>
    </w:p>
    <w:p>
      <w:pPr>
        <w:pStyle w:val="CaptionedFigure"/>
      </w:pPr>
      <w:r>
        <w:drawing>
          <wp:inline>
            <wp:extent cx="3657600" cy="3657600"/>
            <wp:effectExtent b="0" l="0" r="0" t="0"/>
            <wp:docPr descr="Random Forest confusion matrix on the held-out test set" title="" id="19" name="Picture"/>
            <a:graphic>
              <a:graphicData uri="http://schemas.openxmlformats.org/drawingml/2006/picture">
                <pic:pic>
                  <pic:nvPicPr>
                    <pic:cNvPr descr="figures/confusion_matrix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 on the held-out test set</w:t>
      </w:r>
    </w:p>
    <w:p>
      <w:pPr>
        <w:pStyle w:val="BodyText"/>
      </w:pPr>
      <w:r>
        <w:t xml:space="preserve">The confusion matrix shows the model rarely confuses the majority class (insulators) but has more difficulty with the minority class (metals, only 56/192 compounds) — a direct consequence of class imbalance, not a modeling error.</w:t>
      </w:r>
    </w:p>
    <w:bookmarkEnd w:id="21"/>
    <w:bookmarkStart w:id="25" w:name="Xd91378a8a5c6a375f928f2984bbe07cfcb6255c"/>
    <w:p>
      <w:pPr>
        <w:pStyle w:val="Heading3"/>
      </w:pPr>
      <w:r>
        <w:t xml:space="preserve">4.2 Regression: band gap magnitude (insulators only)</w:t>
      </w:r>
    </w:p>
    <w:tbl>
      <w:tblPr>
        <w:tblStyle w:val="Table"/>
        <w:tblW w:type="auto" w:w="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Evaluation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MAE (eV)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80/20 split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5-fold CV (mean ± std)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rPr>
                <w:b/>
                <w:bCs/>
              </w:rPr>
              <w:t xml:space="preserve">0.357 ± 0.072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rPr>
                <w:b/>
                <w:bCs/>
              </w:rPr>
              <w:t xml:space="preserve">0.401 ± 0.168</w:t>
            </w:r>
          </w:p>
        </w:tc>
      </w:tr>
    </w:tbl>
    <w:p>
      <w:pPr>
        <w:pStyle w:val="BodyText"/>
      </w:pPr>
      <w:r>
        <w:t xml:space="preserve">An MAE of ~0.36 eV against a band gap range of roughly 0–4.4 eV (median ≈ 0.6 eV) is a modest but genuine predictive signal — well above a naive</w:t>
      </w:r>
      <w:r>
        <w:t xml:space="preserve"> </w:t>
      </w:r>
      <w:r>
        <w:t xml:space="preserve">“always predict the mean”</w:t>
      </w:r>
      <w:r>
        <w:t xml:space="preserve"> </w:t>
      </w:r>
      <w:r>
        <w:t xml:space="preserve">baseline, but far from a substitute for DFT. The R² of 0.40 (with substantial spread across folds, ± 0.17) reflects the small sample size: composition-only features capture some but not all of the physics governing band gap in this family.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Predicted vs. true band gap on the held-out test set" title="" id="23" name="Picture"/>
            <a:graphic>
              <a:graphicData uri="http://schemas.openxmlformats.org/drawingml/2006/picture">
                <pic:pic>
                  <pic:nvPicPr>
                    <pic:cNvPr descr="figures/scatter_true_vs_pr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true band gap on the held-out test set</w:t>
      </w:r>
    </w:p>
    <w:bookmarkEnd w:id="25"/>
    <w:bookmarkStart w:id="29" w:name="feature-importance"/>
    <w:p>
      <w:pPr>
        <w:pStyle w:val="Heading3"/>
      </w:pPr>
      <w:r>
        <w:t xml:space="preserve">4.3 Feature importance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Top 12 features driving the band-gap regression" title="" id="27" name="Picture"/>
            <a:graphic>
              <a:graphicData uri="http://schemas.openxmlformats.org/drawingml/2006/picture">
                <pic:pic>
                  <pic:nvPicPr>
                    <pic:cNvPr descr="figures/feature_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12 features driving the band-gap regression</w:t>
      </w:r>
    </w:p>
    <w:p>
      <w:pPr>
        <w:pStyle w:val="BodyText"/>
      </w:pPr>
      <w:r>
        <w:t xml:space="preserve">The single most important feature is the</w:t>
      </w:r>
      <w:r>
        <w:t xml:space="preserve"> </w:t>
      </w:r>
      <w:r>
        <w:rPr>
          <w:b/>
          <w:bCs/>
        </w:rPr>
        <w:t xml:space="preserve">range of electronegativity</w:t>
      </w:r>
      <w:r>
        <w:t xml:space="preserve"> </w:t>
      </w:r>
      <w:r>
        <w:t xml:space="preserve">across a compound’s constituent elements, followed by electronegativity-related and periodic-column features. This is physically sensible: in IV-VI chalcogenides, band gap opening under doping/alloying is strongly tied to how much the dopant’s electronegativity differs from Sn and Se, since this drives ionic/covalent bonding character and orbital energy mismatch — a mechanism well documented in the SnSe band-engineering literature.</w:t>
      </w:r>
    </w:p>
    <w:bookmarkEnd w:id="29"/>
    <w:bookmarkStart w:id="30" w:name="limitations"/>
    <w:p>
      <w:pPr>
        <w:pStyle w:val="Heading3"/>
      </w:pPr>
      <w:r>
        <w:t xml:space="preserve">4.4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Composition-only features cannot distinguish polymorphs.</w:t>
      </w:r>
      <w:r>
        <w:t xml:space="preserve"> </w:t>
      </w:r>
      <w:r>
        <w:t xml:space="preserve">SnSe itself has multiple phases (e.g. room-temperature orthorhombic</w:t>
      </w:r>
      <w:r>
        <w:t xml:space="preserve"> </w:t>
      </w:r>
      <w:r>
        <w:rPr>
          <w:i/>
          <w:iCs/>
        </w:rPr>
        <w:t xml:space="preserve">Pnma</w:t>
      </w:r>
      <w:r>
        <w:t xml:space="preserve"> </w:t>
      </w:r>
      <w:r>
        <w:t xml:space="preserve">vs. the high-temperature phase); a formula-only featurization assigns them identical features despite different band gaps. This is a known ceiling on this approach’s accuracy.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Small, heterogeneous dataset.</w:t>
      </w:r>
      <w:r>
        <w:t xml:space="preserve"> </w:t>
      </w:r>
      <w:r>
        <w:t xml:space="preserve">192 compounds span binary SnSe through 6-element alloys — a genuinely diverse</w:t>
      </w:r>
      <w:r>
        <w:t xml:space="preserve"> </w:t>
      </w:r>
      <w:r>
        <w:t xml:space="preserve">“family”</w:t>
      </w:r>
      <w:r>
        <w:t xml:space="preserve"> </w:t>
      </w:r>
      <w:r>
        <w:t xml:space="preserve">rather than a single tunable system, which likely limits both models.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 imbalance</w:t>
      </w:r>
      <w:r>
        <w:t xml:space="preserve"> </w:t>
      </w:r>
      <w:r>
        <w:t xml:space="preserve">(71/29 insulator/metal split) makes minority-class (metal) predictions less reliable, as seen in the confusion matrix.</w:t>
      </w:r>
    </w:p>
    <w:bookmarkEnd w:id="30"/>
    <w:bookmarkEnd w:id="31"/>
    <w:bookmarkStart w:id="3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A composition-only Random Forest model can distinguish Sn-Se-based metals from insulators with ~80% cross-validated accuracy, and predict the band gap of insulating members with a mean error of ~0.36 eV — a useful, fast first-pass screen for candidate dopants/alloys before committing to DFT or experiment, though not a replacement for either. Electronegativity-related descriptors dominate the model’s predictions, consistent with known band-engineering mechanisms in IV-VI chalcogenides. The main path to a stronger model is adding structural (not just compositional) features to resolve polymorphs, and/or growing the dataset by relaxing to the broader IV-VI chalcogenide family (SnS, SnTe, PbSe, PbS, PbTe, GeSe, GeS, GeTe and their alloys).</w:t>
      </w:r>
    </w:p>
    <w:bookmarkEnd w:id="32"/>
    <w:bookmarkStart w:id="33" w:name="individual-contributions"/>
    <w:p>
      <w:pPr>
        <w:pStyle w:val="Heading2"/>
      </w:pPr>
      <w:r>
        <w:t xml:space="preserve">6. Individual Contributions</w:t>
      </w:r>
    </w:p>
    <w:p>
      <w:pPr>
        <w:pStyle w:val="FirstParagraph"/>
      </w:pPr>
      <w:r>
        <w:rPr>
          <w:i/>
          <w:iCs/>
        </w:rPr>
        <w:t xml:space="preserve">Draft — please confirm and edit to reflect what each person actually did.</w:t>
      </w:r>
    </w:p>
    <w:tbl>
      <w:tblPr>
        <w:tblStyle w:val="Table"/>
        <w:tblW w:type="pct" w:w="500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Prashant Shahi</w:t>
            </w:r>
          </w:p>
        </w:tc>
        <w:tc>
          <w:tcPr/>
          <w:p>
            <w:pPr>
              <w:pStyle w:val="Compact"/>
            </w:pPr>
            <w:r>
              <w:t xml:space="preserve">Chose topic and dataset, coordinated the group, built and ran the modeling notebook (classification + regression + cross-validation)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Akanksha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Sourced and queried the Materials Project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Santosh Kumar</w:t>
            </w:r>
          </w:p>
        </w:tc>
        <w:tc>
          <w:tcPr/>
          <w:p>
            <w:pPr>
              <w:pStyle w:val="Compact"/>
            </w:pPr>
            <w:r>
              <w:t xml:space="preserve">Cleaned the data (de-duplication, missing values) and built the composition/feature pipeline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Alfiya Mahmood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Wrote and formatted this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Nagendra Kumar Singh</w:t>
            </w:r>
          </w:p>
        </w:tc>
        <w:tc>
          <w:tcPr/>
          <w:p>
            <w:pPr>
              <w:pStyle w:val="Compact"/>
            </w:pPr>
            <w:r>
              <w:t xml:space="preserve">Built the slide deck and prepared the presentation</w:t>
            </w:r>
          </w:p>
        </w:tc>
      </w:tr>
    </w:tbl>
    <w:bookmarkEnd w:id="33"/>
    <w:bookmarkStart w:id="34" w:name="code-notebook"/>
    <w:p>
      <w:pPr>
        <w:pStyle w:val="Heading2"/>
      </w:pPr>
      <w:r>
        <w:t xml:space="preserve">7. Code / Notebook</w:t>
      </w:r>
    </w:p>
    <w:p>
      <w:pPr>
        <w:pStyle w:val="FirstParagraph"/>
      </w:pPr>
      <w:r>
        <w:t xml:space="preserve">Working notebook:</w:t>
      </w:r>
      <w:r>
        <w:t xml:space="preserve"> </w:t>
      </w:r>
      <w:r>
        <w:rPr>
          <w:rStyle w:val="VerbatimChar"/>
        </w:rPr>
        <w:t xml:space="preserve">band_gap_snse_materials.ipynb</w:t>
      </w:r>
      <w:r>
        <w:t xml:space="preserve"> </w:t>
      </w:r>
      <w:r>
        <w:t xml:space="preserve">— [insert GitHub/Drive link here before submission].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22A3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B2A4A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asciiTheme="majorHAnsi" w:cstheme="majorBidi" w:eastAsiaTheme="majorEastAsia" w:hAnsi="Calibri" w:hAnsiTheme="majorHAnsi"/>
      <w:b/>
      <w:color w:val="1B2A4A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asciiTheme="majorHAnsi" w:cstheme="majorBidi" w:eastAsiaTheme="majorEastAsia" w:hAnsi="Calibri" w:hAnsiTheme="majorHAnsi"/>
      <w:b/>
      <w:color w:val="1F5F78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b/>
      <w:i/>
      <w:color w:val="C884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image" Target="media/rId26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Band Gaps of SnSe-Based Materials from Composition</dc:title>
  <dc:creator/>
  <cp:keywords/>
  <dcterms:created xsi:type="dcterms:W3CDTF">2026-07-15T06:40:28Z</dcterms:created>
  <dcterms:modified xsi:type="dcterms:W3CDTF">2026-07-15T06:40:28Z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