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3864"/>
          <w:sz w:val="52"/>
        </w:rPr>
        <w:t>INVESTMENT DEAL MEMO</w:t>
      </w:r>
    </w:p>
    <w:p>
      <w:pPr>
        <w:spacing w:before="0" w:after="280"/>
        <w:jc w:val="center"/>
      </w:pPr>
      <w:r>
        <w:rPr>
          <w:rFonts w:ascii="Calibri" w:hAnsi="Calibri"/>
          <w:b/>
          <w:color w:val="1F3864"/>
          <w:sz w:val="30"/>
        </w:rPr>
        <w:t>AnyMile Spin-Out — Proposed Structure for MELIC + C10 Labs Co-Investment</w:t>
      </w:r>
    </w:p>
    <w:p>
      <w:pPr>
        <w:spacing w:before="0" w:after="20"/>
      </w:pPr>
      <w:r>
        <w:rPr>
          <w:rFonts w:ascii="Calibri" w:hAnsi="Calibri"/>
          <w:b/>
          <w:color w:val="1F3864"/>
          <w:sz w:val="20"/>
        </w:rPr>
        <w:t>To:</w:t>
      </w:r>
      <w:r>
        <w:t xml:space="preserve">  </w:t>
      </w:r>
      <w:r>
        <w:rPr>
          <w:rFonts w:ascii="Calibri" w:hAnsi="Calibri"/>
          <w:sz w:val="20"/>
        </w:rPr>
        <w:t>Mitsubishi Electric US Executive Leadership</w:t>
      </w:r>
    </w:p>
    <w:p>
      <w:pPr>
        <w:spacing w:before="0" w:after="20"/>
      </w:pPr>
      <w:r>
        <w:rPr>
          <w:rFonts w:ascii="Calibri" w:hAnsi="Calibri"/>
          <w:b/>
          <w:color w:val="1F3864"/>
          <w:sz w:val="20"/>
        </w:rPr>
        <w:t>From:</w:t>
      </w:r>
      <w:r>
        <w:t xml:space="preserve">  </w:t>
      </w:r>
      <w:r>
        <w:rPr>
          <w:rFonts w:ascii="Calibri" w:hAnsi="Calibri"/>
          <w:sz w:val="20"/>
        </w:rPr>
        <w:t>Shahid Azim, C10 Labs</w:t>
      </w:r>
    </w:p>
    <w:p>
      <w:pPr>
        <w:spacing w:before="0" w:after="20"/>
      </w:pPr>
      <w:r>
        <w:rPr>
          <w:rFonts w:ascii="Calibri" w:hAnsi="Calibri"/>
          <w:b/>
          <w:color w:val="1F3864"/>
          <w:sz w:val="20"/>
        </w:rPr>
        <w:t>For review by:</w:t>
      </w:r>
      <w:r>
        <w:t xml:space="preserve">  </w:t>
      </w:r>
      <w:r>
        <w:rPr>
          <w:rFonts w:ascii="Calibri" w:hAnsi="Calibri"/>
          <w:sz w:val="20"/>
        </w:rPr>
        <w:t>Zafer Sahinoglu, Mitsubishi Electric Innovation Center (MELIC)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20"/>
        </w:rPr>
        <w:t>Sponsor exec:</w:t>
      </w:r>
      <w:r>
        <w:t xml:space="preserve">  </w:t>
      </w:r>
      <w:r>
        <w:rPr>
          <w:rFonts w:ascii="Calibri" w:hAnsi="Calibri"/>
          <w:sz w:val="20"/>
        </w:rPr>
        <w:t>Satoshi Takeda</w:t>
      </w:r>
    </w:p>
    <w:p>
      <w:pPr>
        <w:spacing w:before="0" w:after="20"/>
      </w:pPr>
      <w:r>
        <w:rPr>
          <w:rFonts w:ascii="Calibri" w:hAnsi="Calibri"/>
          <w:b/>
          <w:color w:val="1F3864"/>
          <w:sz w:val="20"/>
        </w:rPr>
        <w:t>Review date:</w:t>
      </w:r>
      <w:r>
        <w:t xml:space="preserve">  </w:t>
      </w:r>
      <w:r>
        <w:rPr>
          <w:rFonts w:ascii="Calibri" w:hAnsi="Calibri"/>
          <w:sz w:val="20"/>
        </w:rPr>
        <w:t>June 4, 2026 — Boston</w:t>
      </w:r>
    </w:p>
    <w:p>
      <w:pPr>
        <w:spacing w:before="0" w:after="20"/>
      </w:pPr>
      <w:r>
        <w:rPr>
          <w:rFonts w:ascii="Calibri" w:hAnsi="Calibri"/>
          <w:b/>
          <w:color w:val="1F3864"/>
          <w:sz w:val="20"/>
        </w:rPr>
        <w:t>Date:</w:t>
      </w:r>
      <w:r>
        <w:t xml:space="preserve">  </w:t>
      </w:r>
      <w:r>
        <w:rPr>
          <w:rFonts w:ascii="Calibri" w:hAnsi="Calibri"/>
          <w:sz w:val="20"/>
        </w:rPr>
        <w:t>May 16, 2026</w:t>
      </w:r>
    </w:p>
    <w:p>
      <w:pPr>
        <w:spacing w:before="0" w:after="20"/>
      </w:pPr>
      <w:r>
        <w:rPr>
          <w:rFonts w:ascii="Calibri" w:hAnsi="Calibri"/>
          <w:b/>
          <w:color w:val="1F3864"/>
          <w:sz w:val="20"/>
        </w:rPr>
        <w:t>Status:</w:t>
      </w:r>
      <w:r>
        <w:t xml:space="preserve">  </w:t>
      </w:r>
      <w:r>
        <w:rPr>
          <w:rFonts w:ascii="Calibri" w:hAnsi="Calibri"/>
          <w:sz w:val="20"/>
        </w:rPr>
        <w:t>Draft v6 — companion to MELIC's May 15, 2026 executive memo</w:t>
      </w:r>
    </w:p>
    <w:p>
      <w:pPr>
        <w:spacing w:before="160" w:after="160"/>
        <w:ind w:left="160"/>
        <w:shd w:val="clear" w:color="auto" w:fill="EAF1F8"/>
        <w:pBdr>
          <w:left w:val="single" w:sz="16" w:space="4" w:color="1F3864"/>
        </w:pBdr>
      </w:pPr>
      <w:r>
        <w:rPr>
          <w:rFonts w:ascii="Calibri" w:hAnsi="Calibri"/>
          <w:b/>
          <w:i/>
          <w:sz w:val="22"/>
        </w:rPr>
        <w:t xml:space="preserve">How to read this document. </w:t>
      </w:r>
      <w:r>
        <w:rPr>
          <w:rFonts w:ascii="Calibri" w:hAnsi="Calibri"/>
          <w:b w:val="0"/>
          <w:i/>
          <w:sz w:val="22"/>
        </w:rPr>
        <w:t xml:space="preserve">MELIC's internal memo asks ME leadership to </w:t>
      </w:r>
      <w:r>
        <w:rPr>
          <w:rFonts w:ascii="Calibri" w:hAnsi="Calibri"/>
          <w:b w:val="0"/>
          <w:i/>
          <w:sz w:val="22"/>
        </w:rPr>
        <w:t>authorize structured negotiations</w:t>
      </w:r>
      <w:r>
        <w:rPr>
          <w:rFonts w:ascii="Calibri" w:hAnsi="Calibri"/>
          <w:b w:val="0"/>
          <w:i/>
          <w:sz w:val="22"/>
        </w:rPr>
        <w:t xml:space="preserve"> toward a preliminary term sheet. This companion memo carries C10 Labs' opening position into those negotiations: the specific structure, capital plan, and operating plan being proposed. Equity principles and the role split below mirror MELIC's memo; specific numbers are illustrative of how those principles could resolve.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1. Company Purpose</w:t>
      </w:r>
    </w:p>
    <w:p>
      <w:pPr>
        <w:spacing w:before="40" w:after="80"/>
      </w:pPr>
      <w:r>
        <w:rPr>
          <w:rFonts w:ascii="Calibri" w:hAnsi="Calibri"/>
          <w:b/>
          <w:i w:val="0"/>
          <w:sz w:val="22"/>
        </w:rPr>
        <w:t>AnyMile is the autonomous-logistics mission-assurance platform</w:t>
      </w:r>
      <w:r>
        <w:rPr>
          <w:rFonts w:ascii="Calibri" w:hAnsi="Calibri"/>
          <w:b w:val="0"/>
          <w:i w:val="0"/>
          <w:sz w:val="22"/>
        </w:rPr>
        <w:t xml:space="preserve"> — the system of record for mission readiness, compliance evidence, auditability, chain of custody, operator and site eligibility, contingency workflows, and governance across regulated autonomous-logistics networks.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2. Problem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Autonomous-logistics deployments are being funded ahead of the mission-assurance infrastructure that makes them defensible to regulators, auditors, and prime-contractor customers.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State DoTs cannot prove the mission. </w:t>
      </w:r>
      <w:r>
        <w:rPr>
          <w:rFonts w:ascii="Calibri" w:hAnsi="Calibri"/>
          <w:b w:val="0"/>
          <w:i w:val="0"/>
          <w:sz w:val="22"/>
        </w:rPr>
        <w:t>Louisiana DoT and Texas DoT both have FAA-funded cargo programs in flight and have independently told us, this week, that mission assurance — readiness, chain of custody, eligibility evidence, contingency governance — is what they lack. Without it, the FAA reporting that defends and renews their grants is brittle.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Operators cannot scale BVLOS compliantly. </w:t>
      </w:r>
      <w:r>
        <w:rPr>
          <w:rFonts w:ascii="Calibri" w:hAnsi="Calibri"/>
          <w:b w:val="0"/>
          <w:i w:val="0"/>
          <w:sz w:val="22"/>
        </w:rPr>
        <w:t>The FAA's BVLOS expansion raises the evidentiary bar; operators are not architected to produce auditable, per-mission compliance records at frequency.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OEMs ship vehicles without a governance layer. </w:t>
      </w:r>
      <w:r>
        <w:rPr>
          <w:rFonts w:ascii="Calibri" w:hAnsi="Calibri"/>
          <w:b w:val="0"/>
          <w:i w:val="0"/>
          <w:sz w:val="22"/>
        </w:rPr>
        <w:t>Airframe OEMs land cargo platforms into customers with no shared mission-assurance plane, leaving the customer to construct one from scratch.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No incumbent owns the layer. </w:t>
      </w:r>
      <w:r>
        <w:rPr>
          <w:rFonts w:ascii="Calibri" w:hAnsi="Calibri"/>
          <w:b w:val="0"/>
          <w:i w:val="0"/>
          <w:sz w:val="22"/>
        </w:rPr>
        <w:t>Passenger-side ATM systems and vehicle-side OEM stacks dominate aviation software. The horizontal mission-assurance layer — neutral across operators, OEMs, and jurisdictions — is unclaimed.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3. Solution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A neutral, third-party mission-assurance platform, operated as an independent venture-backed company, that: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sz w:val="22"/>
        </w:rPr>
        <w:t>Produces per-mission readiness, eligibility, chain-of-custody, and contingency evidence in formats state DoTs and the FAA can audit directly.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sz w:val="22"/>
        </w:rPr>
        <w:t>Governs operator and site eligibility across multi-operator, multi-corridor, multi-jurisdiction networks.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sz w:val="22"/>
        </w:rPr>
        <w:t>Onboards new corridors and operators as a reusable evidence pattern rather than as bespoke integrations.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sz w:val="22"/>
        </w:rPr>
        <w:t>Stays neutral by being structurally independent of any single OEM, operator, or geography — including its strategic anchor, Mitsubishi Electric.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 xml:space="preserve">This is consistent with the </w:t>
      </w:r>
      <w:r>
        <w:rPr>
          <w:rFonts w:ascii="Calibri" w:hAnsi="Calibri"/>
          <w:b/>
          <w:i w:val="0"/>
          <w:sz w:val="22"/>
        </w:rPr>
        <w:t>MELIC orchestration model</w:t>
      </w:r>
      <w:r>
        <w:rPr>
          <w:rFonts w:ascii="Calibri" w:hAnsi="Calibri"/>
          <w:b w:val="0"/>
          <w:i w:val="0"/>
          <w:sz w:val="22"/>
        </w:rPr>
        <w:t xml:space="preserve"> described in MELIC's May 15 memo: MELIC creates and validates strategic opportunities, then routes them to the right commercialization vehicle. AnyMile is the first instantiation of that model.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4. Why Now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A 12–18 month window is open and will not stay open.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Regulatory. </w:t>
      </w:r>
      <w:r>
        <w:rPr>
          <w:rFonts w:ascii="Calibri" w:hAnsi="Calibri"/>
          <w:b w:val="0"/>
          <w:i w:val="0"/>
          <w:sz w:val="22"/>
        </w:rPr>
        <w:t>The FAA's BVLOS rule expansion is converting research corridors into operational ones — and raising the evidentiary bar.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Funding. </w:t>
      </w:r>
      <w:r>
        <w:rPr>
          <w:rFonts w:ascii="Calibri" w:hAnsi="Calibri"/>
          <w:b w:val="0"/>
          <w:i w:val="0"/>
          <w:sz w:val="22"/>
        </w:rPr>
        <w:t>Multiple state DoT grant cycles (TX and LA active; others queued) are spending against autonomous logistics right now.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Customer pull is live this week. </w:t>
      </w:r>
      <w:r>
        <w:rPr>
          <w:rFonts w:ascii="Calibri" w:hAnsi="Calibri"/>
          <w:b w:val="0"/>
          <w:i w:val="0"/>
          <w:sz w:val="22"/>
        </w:rPr>
        <w:t>Both Louisiana DoT and Texas DoT have confirmed mission assurance as the blocker. AnyMile has just been admitted to the Texas CAAT.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No category leader yet. </w:t>
      </w:r>
      <w:r>
        <w:rPr>
          <w:rFonts w:ascii="Calibri" w:hAnsi="Calibri"/>
          <w:b w:val="0"/>
          <w:i w:val="0"/>
          <w:sz w:val="22"/>
        </w:rPr>
        <w:t>Whoever becomes the default mission-assurance layer in the next 12–18 months sets the protocol, the evidence format, and the data gravity.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Spin-out unlock. </w:t>
      </w:r>
      <w:r>
        <w:rPr>
          <w:rFonts w:ascii="Calibri" w:hAnsi="Calibri"/>
          <w:b w:val="0"/>
          <w:i w:val="0"/>
          <w:sz w:val="22"/>
        </w:rPr>
        <w:t>Inside ME, AnyMile competes for budget against a global P&amp;L and cannot, by MELIC's own framing, be the long-term commercialization vehicle. Outside ME, it can contract, deploy, and iterate at venture speed while ME retains strategic upside.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5. Market Size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Beachhead — state DoT autonomous-logistics programs. </w:t>
      </w:r>
      <w:r>
        <w:rPr>
          <w:rFonts w:ascii="Calibri" w:hAnsi="Calibri"/>
          <w:b w:val="0"/>
          <w:i w:val="0"/>
          <w:sz w:val="22"/>
        </w:rPr>
        <w:t>~50 US state DoTs, with the leading 8–10 running FAA-funded programs in the next 24 months. Annual platform spend per state DoT, fully deployed, is in the high six to low seven figures.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Adjacent — BVLOS-authorized operators. </w:t>
      </w:r>
      <w:r>
        <w:rPr>
          <w:rFonts w:ascii="Calibri" w:hAnsi="Calibri"/>
          <w:b w:val="0"/>
          <w:i w:val="0"/>
          <w:sz w:val="22"/>
        </w:rPr>
        <w:t>Several hundred US operators within 36 months; per-mission assurance fees compound with usage.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Adjacent — airframe OEM integrations. </w:t>
      </w:r>
      <w:r>
        <w:rPr>
          <w:rFonts w:ascii="Calibri" w:hAnsi="Calibri"/>
          <w:b w:val="0"/>
          <w:i w:val="0"/>
          <w:sz w:val="22"/>
        </w:rPr>
        <w:t>A double-digit set of cargo airframe OEMs globally; each integration is both a revenue line and a distribution channel.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Long-term — international airspace authorities and passenger AAM. </w:t>
      </w:r>
      <w:r>
        <w:rPr>
          <w:rFonts w:ascii="Calibri" w:hAnsi="Calibri"/>
          <w:b w:val="0"/>
          <w:i w:val="0"/>
          <w:sz w:val="22"/>
        </w:rPr>
        <w:t>The same mission-assurance primitive extends to passenger air mobility and to non-US jurisdictions as their BVLOS frameworks mature.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The defensible bottom-up TAM is in the low billions annually within 5–7 years; the strategic prize is owning the evidence protocol.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6. Competition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Vehicle-side OEM stacks. </w:t>
      </w:r>
      <w:r>
        <w:rPr>
          <w:rFonts w:ascii="Calibri" w:hAnsi="Calibri"/>
          <w:b w:val="0"/>
          <w:i w:val="0"/>
          <w:sz w:val="22"/>
        </w:rPr>
        <w:t>Built for their own airframes; structurally cannot be neutral, which is the buyer requirement at the state and federal level.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Passenger-side ATM incumbents. </w:t>
      </w:r>
      <w:r>
        <w:rPr>
          <w:rFonts w:ascii="Calibri" w:hAnsi="Calibri"/>
          <w:b w:val="0"/>
          <w:i w:val="0"/>
          <w:sz w:val="22"/>
        </w:rPr>
        <w:t>Optimized for crewed aviation; slow, expensive, and not architected for high-frequency low-altitude autonomous logistics.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Point UTM startups. </w:t>
      </w:r>
      <w:r>
        <w:rPr>
          <w:rFonts w:ascii="Calibri" w:hAnsi="Calibri"/>
          <w:b w:val="0"/>
          <w:i w:val="0"/>
          <w:sz w:val="22"/>
        </w:rPr>
        <w:t>Solve a slice (deconfliction, identification) but not the multi-operator mission-assurance layer.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Internal ME program (status quo). </w:t>
      </w:r>
      <w:r>
        <w:rPr>
          <w:rFonts w:ascii="Calibri" w:hAnsi="Calibri"/>
          <w:b w:val="0"/>
          <w:i w:val="0"/>
          <w:sz w:val="22"/>
        </w:rPr>
        <w:t>Slower decision cycles; harder to sign third-party operators who view ME as a competitor in adjacent categories; explicitly out of scope as a long-term commercialization owner per MELIC's memo.</w:t>
      </w:r>
    </w:p>
    <w:p>
      <w:pPr>
        <w:spacing w:before="40" w:after="80"/>
      </w:pPr>
      <w:r>
        <w:rPr>
          <w:rFonts w:ascii="Calibri" w:hAnsi="Calibri"/>
          <w:b/>
          <w:i w:val="0"/>
          <w:sz w:val="22"/>
        </w:rPr>
        <w:t xml:space="preserve">Why AnyMile wins: </w:t>
      </w:r>
      <w:r>
        <w:rPr>
          <w:rFonts w:ascii="Calibri" w:hAnsi="Calibri"/>
          <w:b w:val="0"/>
          <w:i w:val="0"/>
          <w:sz w:val="22"/>
        </w:rPr>
        <w:t>neutrality + first regulator/customer relationships + a build partner (C10 Labs) that can put a venture-grade team and capital structure around it in 90 days.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7. Product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Mission readiness &amp; eligibility: </w:t>
      </w:r>
      <w:r>
        <w:rPr>
          <w:rFonts w:ascii="Calibri" w:hAnsi="Calibri"/>
          <w:b w:val="0"/>
          <w:i w:val="0"/>
          <w:sz w:val="22"/>
        </w:rPr>
        <w:t>automated checks for operator, vehicle, site, and crew eligibility against the corridor's regulatory envelope.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Compliance evidence &amp; auditability: </w:t>
      </w:r>
      <w:r>
        <w:rPr>
          <w:rFonts w:ascii="Calibri" w:hAnsi="Calibri"/>
          <w:b w:val="0"/>
          <w:i w:val="0"/>
          <w:sz w:val="22"/>
        </w:rPr>
        <w:t>per-mission evidence packs in formats state DoTs hand to the FAA, with chain-of-custody guarantees.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Contingency workflows &amp; governance: </w:t>
      </w:r>
      <w:r>
        <w:rPr>
          <w:rFonts w:ascii="Calibri" w:hAnsi="Calibri"/>
          <w:b w:val="0"/>
          <w:i w:val="0"/>
          <w:sz w:val="22"/>
        </w:rPr>
        <w:t>decision rights, escalation paths, and post-incident review baked into the platform.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Integration kit: </w:t>
      </w:r>
      <w:r>
        <w:rPr>
          <w:rFonts w:ascii="Calibri" w:hAnsi="Calibri"/>
          <w:b w:val="0"/>
          <w:i w:val="0"/>
          <w:sz w:val="22"/>
        </w:rPr>
        <w:t>reusable SOW + reference architecture that compresses new DoT or OEM onboarding from quarters to weeks.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IP is contributed by MELIC at spin-out close via an assignment-and-license agreement; Mitsubishi Electric retains a perpetual royalty-free internal-use license with narrow, time-boxed field-of-use carve-outs that do not depress seed valuation.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8. Business Model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>Per-mission assurance fee</w:t>
      </w:r>
      <w:r>
        <w:rPr>
          <w:rFonts w:ascii="Calibri" w:hAnsi="Calibri"/>
          <w:b w:val="0"/>
          <w:i w:val="0"/>
          <w:sz w:val="22"/>
        </w:rPr>
        <w:t xml:space="preserve"> — variable, scales with operator usage.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>Platform subscription</w:t>
      </w:r>
      <w:r>
        <w:rPr>
          <w:rFonts w:ascii="Calibri" w:hAnsi="Calibri"/>
          <w:b w:val="0"/>
          <w:i w:val="0"/>
          <w:sz w:val="22"/>
        </w:rPr>
        <w:t xml:space="preserve"> — annual, tiered by connected operators/vehicles; sold to state DoTs and enterprise operators.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>Integration &amp; professional services</w:t>
      </w:r>
      <w:r>
        <w:rPr>
          <w:rFonts w:ascii="Calibri" w:hAnsi="Calibri"/>
          <w:b w:val="0"/>
          <w:i w:val="0"/>
          <w:sz w:val="22"/>
        </w:rPr>
        <w:t xml:space="preserve"> — year-one revenue that funds the deployment team without burning seed capital on services headcount.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>OEM revenue share</w:t>
      </w:r>
      <w:r>
        <w:rPr>
          <w:rFonts w:ascii="Calibri" w:hAnsi="Calibri"/>
          <w:b w:val="0"/>
          <w:i w:val="0"/>
          <w:sz w:val="22"/>
        </w:rPr>
        <w:t xml:space="preserve"> — when AnyMile ships as the default mission-assurance layer with a cargo airframe.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Gross-margin profile is SaaS-like at steady state; year-one mix is services-heavy by design, then inverts as the reusable evidence pattern takes hold.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9. Team &amp; Sponsors</w:t>
      </w:r>
    </w:p>
    <w:p>
      <w:pPr>
        <w:spacing w:before="200" w:after="40"/>
      </w:pPr>
      <w:r>
        <w:rPr>
          <w:rFonts w:ascii="Calibri" w:hAnsi="Calibri"/>
          <w:b/>
          <w:color w:val="1F3864"/>
          <w:sz w:val="24"/>
        </w:rPr>
        <w:t>9.1 Founding team (formed within 90 days of close; C10 Labs-led search)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>CEO</w:t>
      </w:r>
      <w:r>
        <w:rPr>
          <w:rFonts w:ascii="Calibri" w:hAnsi="Calibri"/>
          <w:b w:val="0"/>
          <w:i w:val="0"/>
          <w:sz w:val="22"/>
        </w:rPr>
        <w:t xml:space="preserve"> — operator with FAA / DoT or regulated-infrastructure-software background. C10 Labs runs the search; ME has approval on the final candidate.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>CTO / Head of Engineering</w:t>
      </w:r>
      <w:r>
        <w:rPr>
          <w:rFonts w:ascii="Calibri" w:hAnsi="Calibri"/>
          <w:b w:val="0"/>
          <w:i w:val="0"/>
          <w:sz w:val="22"/>
        </w:rPr>
        <w:t xml:space="preserve"> — preferred path is to retain the lead AnyMile engineer(s) from inside ME via a transition package (cash + meaningful ESOP).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>Head of GTM / BD</w:t>
      </w:r>
      <w:r>
        <w:rPr>
          <w:rFonts w:ascii="Calibri" w:hAnsi="Calibri"/>
          <w:b w:val="0"/>
          <w:i w:val="0"/>
          <w:sz w:val="22"/>
        </w:rPr>
        <w:t xml:space="preserve"> — owns DoT and OEM pipeline; hired from C10 Labs' network of regulated-industry GTM operators.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>Founding engineers (2–3)</w:t>
      </w:r>
      <w:r>
        <w:rPr>
          <w:rFonts w:ascii="Calibri" w:hAnsi="Calibri"/>
          <w:b w:val="0"/>
          <w:i w:val="0"/>
          <w:sz w:val="22"/>
        </w:rPr>
        <w:t xml:space="preserve"> — mission assurance, integrations, airspace data. NewCo equity-holding hires; they ramp alongside the 4 embedded C10 Labs engineers and absorb ownership of the codebase over the 12-month services window.</w:t>
      </w:r>
    </w:p>
    <w:p>
      <w:pPr>
        <w:spacing w:before="200" w:after="40"/>
      </w:pPr>
      <w:r>
        <w:rPr>
          <w:rFonts w:ascii="Calibri" w:hAnsi="Calibri"/>
          <w:b/>
          <w:color w:val="1F3864"/>
          <w:sz w:val="24"/>
        </w:rPr>
        <w:t>9.2 Strategic sponsors (mirroring the role split in MELIC's memo)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04"/>
            <w:shd w:fill="1F386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Entity</w:t>
            </w:r>
          </w:p>
        </w:tc>
        <w:tc>
          <w:tcPr>
            <w:tcW w:type="dxa" w:w="7200"/>
            <w:shd w:fill="1F386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</w:tr>
      <w:tr>
        <w:tc>
          <w:tcPr>
            <w:tcW w:type="dxa" w:w="2304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MELIC</w:t>
            </w:r>
            <w:r>
              <w:rPr>
                <w:rFonts w:ascii="Calibri" w:hAnsi="Calibri"/>
                <w:b w:val="0"/>
                <w:i w:val="0"/>
                <w:sz w:val="21"/>
              </w:rPr>
              <w:br/>
            </w:r>
            <w:r>
              <w:rPr>
                <w:rFonts w:ascii="Calibri" w:hAnsi="Calibri"/>
                <w:b w:val="0"/>
                <w:i w:val="0"/>
                <w:sz w:val="21"/>
              </w:rPr>
              <w:t>(Mitsubishi Electric Innovation Center)</w:t>
            </w:r>
          </w:p>
        </w:tc>
        <w:tc>
          <w:tcPr>
            <w:tcW w:type="dxa" w:w="7200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 xml:space="preserve">Originator. Provides transition support, domain knowledge, product architecture guidance, partner context, and strategic validation. Orchestration role; </w:t>
            </w:r>
            <w:r>
              <w:rPr>
                <w:rFonts w:ascii="Calibri" w:hAnsi="Calibri"/>
                <w:b/>
                <w:i w:val="0"/>
                <w:sz w:val="21"/>
              </w:rPr>
              <w:t>not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the long-term commercialization operator.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MELCO</w:t>
            </w:r>
            <w:r>
              <w:rPr>
                <w:rFonts w:ascii="Calibri" w:hAnsi="Calibri"/>
                <w:b w:val="0"/>
                <w:i w:val="0"/>
                <w:sz w:val="21"/>
              </w:rPr>
              <w:br/>
            </w:r>
            <w:r>
              <w:rPr>
                <w:rFonts w:ascii="Calibri" w:hAnsi="Calibri"/>
                <w:b w:val="0"/>
                <w:i w:val="0"/>
                <w:sz w:val="21"/>
              </w:rPr>
              <w:t>(designated Mitsubishi Electric investment vehicle)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Investor and strategic shareholder. Provides ~$500K–$1M capital, strategic support, relationships, and the value of contributed AnyMile assets.</w:t>
            </w:r>
          </w:p>
        </w:tc>
      </w:tr>
      <w:tr>
        <w:tc>
          <w:tcPr>
            <w:tcW w:type="dxa" w:w="2304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C10 Labs</w:t>
            </w:r>
          </w:p>
        </w:tc>
        <w:tc>
          <w:tcPr>
            <w:tcW w:type="dxa" w:w="7200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 xml:space="preserve">Build partner. Recruits the founder team, provides venture-building / acceleration / fundraising support, and </w:t>
            </w:r>
            <w:r>
              <w:rPr>
                <w:rFonts w:ascii="Calibri" w:hAnsi="Calibri"/>
                <w:b/>
                <w:i w:val="0"/>
                <w:sz w:val="21"/>
              </w:rPr>
              <w:t>embeds 4 development engineers for a minimum of 12 months (services contribution valued at ~$500K)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so the founding team can ship from day one without burning cash on early engineering hires. Accountable for the spin-out becoming a venture-grade company. Satoshi Takeda named as the ME-side executive sponsor and board member.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Founder team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Leads PMF, sales, fundraising, hiring, and day-to-day venture execution.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F3864"/>
          <w:sz w:val="24"/>
        </w:rPr>
        <w:t>9.3 Compensation framework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Below-market cash, top-quartile equity for the first ten hires, benchmarked against Boston / Cambridge venture-backed seed-stage peers; ESOP refresh pre-Series A so seed dilution doesn't under-incent the team.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10. Financials &amp; Capital Plan</w:t>
      </w:r>
    </w:p>
    <w:p>
      <w:pPr>
        <w:spacing w:before="200" w:after="40"/>
      </w:pPr>
      <w:r>
        <w:rPr>
          <w:rFonts w:ascii="Calibri" w:hAnsi="Calibri"/>
          <w:b/>
          <w:color w:val="1F3864"/>
          <w:sz w:val="24"/>
        </w:rPr>
        <w:t>10.1 Equity-allocation principle (from MELIC's May 15 memo)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No fixed equity percentage is specified at this stage. Final equity allocation is determined through a negotiated term sheet based on: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sz w:val="22"/>
        </w:rPr>
        <w:t>Pre-money valuation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sz w:val="22"/>
        </w:rPr>
        <w:t>Contributed capital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sz w:val="22"/>
        </w:rPr>
        <w:t>Existing AnyMile assets (IP, software, data, relationships)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sz w:val="22"/>
        </w:rPr>
        <w:t>C10 Labs' acceleration contribution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sz w:val="22"/>
        </w:rPr>
        <w:t>Founder-team equity requirements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sz w:val="22"/>
        </w:rPr>
        <w:t>Employee option-pool needs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sz w:val="22"/>
        </w:rPr>
        <w:t>Future financing requirements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MELCO preserves appropriate governance, information, commercial collaboration, follow-on investment, and potential acquisition or strategic-partnership rights.</w:t>
      </w:r>
    </w:p>
    <w:p>
      <w:pPr>
        <w:spacing w:before="200" w:after="40"/>
      </w:pPr>
      <w:r>
        <w:rPr>
          <w:rFonts w:ascii="Calibri" w:hAnsi="Calibri"/>
          <w:b/>
          <w:color w:val="1F3864"/>
          <w:sz w:val="24"/>
        </w:rPr>
        <w:t>10.2 Illustrative founding cap table (C10 Labs' opening position)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 xml:space="preserve">To show how the principle above could resolve. </w:t>
      </w:r>
      <w:r>
        <w:rPr>
          <w:rFonts w:ascii="Calibri" w:hAnsi="Calibri"/>
          <w:b/>
          <w:i w:val="0"/>
          <w:sz w:val="22"/>
        </w:rPr>
        <w:t>Not a proposed lock — an illustration to anchor the negotiation.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fill="1F386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Holder</w:t>
            </w:r>
          </w:p>
        </w:tc>
        <w:tc>
          <w:tcPr>
            <w:tcW w:type="dxa" w:w="1872"/>
            <w:shd w:fill="1F386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Illustrative stake</w:t>
            </w:r>
          </w:p>
        </w:tc>
        <w:tc>
          <w:tcPr>
            <w:tcW w:type="dxa" w:w="4752"/>
            <w:shd w:fill="1F386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Rationale</w:t>
            </w:r>
          </w:p>
        </w:tc>
      </w:tr>
      <w:tr>
        <w:tc>
          <w:tcPr>
            <w:tcW w:type="dxa" w:w="2880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MELCO (strategic shareholder)</w:t>
            </w:r>
          </w:p>
        </w:tc>
        <w:tc>
          <w:tcPr>
            <w:tcW w:type="dxa" w:w="1872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40%</w:t>
            </w:r>
          </w:p>
        </w:tc>
        <w:tc>
          <w:tcPr>
            <w:tcW w:type="dxa" w:w="4752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Capital + contributed AnyMile assets, IP, product concept, data, relationships, strategic positioning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Founding team ESOP</w:t>
            </w:r>
          </w:p>
        </w:tc>
        <w:tc>
          <w:tcPr>
            <w:tcW w:type="dxa" w:w="1872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40%</w:t>
            </w:r>
          </w:p>
        </w:tc>
        <w:tc>
          <w:tcPr>
            <w:tcW w:type="dxa" w:w="4752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CEO, CTO, first ~10 hires; oversized to absorb seed dilution and remain venture-grade</w:t>
            </w:r>
          </w:p>
        </w:tc>
      </w:tr>
      <w:tr>
        <w:tc>
          <w:tcPr>
            <w:tcW w:type="dxa" w:w="2880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C10 Labs (build partner)</w:t>
            </w:r>
          </w:p>
        </w:tc>
        <w:tc>
          <w:tcPr>
            <w:tcW w:type="dxa" w:w="1872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4752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Acceleration contribution, founder-team formation, GTM, capital formation, and ~$500K of embedded engineering services (4 dev engineers × 12 months minimum)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Advisor / strategic partner pool</w:t>
            </w:r>
          </w:p>
        </w:tc>
        <w:tc>
          <w:tcPr>
            <w:tcW w:type="dxa" w:w="1872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5%</w:t>
            </w:r>
          </w:p>
        </w:tc>
        <w:tc>
          <w:tcPr>
            <w:tcW w:type="dxa" w:w="4752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DoT advisors, airframe OEM partners, FAA SMEs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 xml:space="preserve">Seed is intentionally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pre-reserved on the founding cap table — new investors price the round and dilute all existing holders pro rata.</w:t>
      </w:r>
    </w:p>
    <w:p>
      <w:pPr>
        <w:spacing w:before="40" w:after="80"/>
      </w:pPr>
      <w:r>
        <w:rPr>
          <w:rFonts w:ascii="Calibri" w:hAnsi="Calibri"/>
          <w:b w:val="0"/>
          <w:i/>
          <w:sz w:val="22"/>
        </w:rPr>
        <w:t>Illustrative post-seed ($5M at $25M post → 20% dilution): MELCO ~32%, Team ~32%, C10 Labs ~12%, Advisors ~4%, Seed investors 20%.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All MELCO and C10 Labs shares vest over 36 months from spin-out close, 12-month cliff, to align both sponsors with execution rather than transaction.</w:t>
      </w:r>
    </w:p>
    <w:p>
      <w:pPr>
        <w:spacing w:before="200" w:after="40"/>
      </w:pPr>
      <w:r>
        <w:rPr>
          <w:rFonts w:ascii="Calibri" w:hAnsi="Calibri"/>
          <w:b/>
          <w:color w:val="1F3864"/>
          <w:sz w:val="24"/>
        </w:rPr>
        <w:t>10.3 Capital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shd w:fill="1F386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Stage</w:t>
            </w:r>
          </w:p>
        </w:tc>
        <w:tc>
          <w:tcPr>
            <w:tcW w:type="dxa" w:w="2736"/>
            <w:shd w:fill="1F386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Source</w:t>
            </w:r>
          </w:p>
        </w:tc>
        <w:tc>
          <w:tcPr>
            <w:tcW w:type="dxa" w:w="1440"/>
            <w:shd w:fill="1F386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Amount</w:t>
            </w:r>
          </w:p>
        </w:tc>
        <w:tc>
          <w:tcPr>
            <w:tcW w:type="dxa" w:w="3600"/>
            <w:shd w:fill="1F386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Use</w:t>
            </w:r>
          </w:p>
        </w:tc>
      </w:tr>
      <w:tr>
        <w:tc>
          <w:tcPr>
            <w:tcW w:type="dxa" w:w="1728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Spin-out close</w:t>
            </w:r>
          </w:p>
        </w:tc>
        <w:tc>
          <w:tcPr>
            <w:tcW w:type="dxa" w:w="2736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MELCO investment</w:t>
            </w:r>
          </w:p>
        </w:tc>
        <w:tc>
          <w:tcPr>
            <w:tcW w:type="dxa" w:w="1440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$500K–$1M</w:t>
            </w:r>
          </w:p>
        </w:tc>
        <w:tc>
          <w:tcPr>
            <w:tcW w:type="dxa" w:w="3600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Founding team, legal, first pilots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Spin-out close</w:t>
            </w:r>
          </w:p>
        </w:tc>
        <w:tc>
          <w:tcPr>
            <w:tcW w:type="dxa" w:w="2736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C10 Labs in-kind services</w:t>
            </w:r>
          </w:p>
        </w:tc>
        <w:tc>
          <w:tcPr>
            <w:tcW w:type="dxa" w:w="1440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~$500K</w:t>
            </w:r>
          </w:p>
        </w:tc>
        <w:tc>
          <w:tcPr>
            <w:tcW w:type="dxa" w:w="3600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4 development engineers embedded for min. 12 months — mission assurance, integrations, evidence packs, deployment</w:t>
            </w:r>
          </w:p>
        </w:tc>
      </w:tr>
      <w:tr>
        <w:tc>
          <w:tcPr>
            <w:tcW w:type="dxa" w:w="1728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Seed (month 3–6)</w:t>
            </w:r>
          </w:p>
        </w:tc>
        <w:tc>
          <w:tcPr>
            <w:tcW w:type="dxa" w:w="2736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External lead + C10 Labs + MELCO pro rata</w:t>
            </w:r>
          </w:p>
        </w:tc>
        <w:tc>
          <w:tcPr>
            <w:tcW w:type="dxa" w:w="1440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$4–6M</w:t>
            </w:r>
          </w:p>
        </w:tc>
        <w:tc>
          <w:tcPr>
            <w:tcW w:type="dxa" w:w="3600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Engineering, GTM, 3–5 pilots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Series A (month 12–18)</w:t>
            </w:r>
          </w:p>
        </w:tc>
        <w:tc>
          <w:tcPr>
            <w:tcW w:type="dxa" w:w="2736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Tier-1 venture</w:t>
            </w:r>
          </w:p>
        </w:tc>
        <w:tc>
          <w:tcPr>
            <w:tcW w:type="dxa" w:w="1440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$15–25M</w:t>
            </w:r>
          </w:p>
        </w:tc>
        <w:tc>
          <w:tcPr>
            <w:tcW w:type="dxa" w:w="3600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Scale GTM, OEM integrations, international</w:t>
            </w:r>
          </w:p>
        </w:tc>
      </w:tr>
    </w:tbl>
    <w:p>
      <w:pPr>
        <w:spacing w:before="160" w:after="160"/>
        <w:ind w:left="160"/>
        <w:shd w:val="clear" w:color="auto" w:fill="EAF1F8"/>
        <w:pBdr>
          <w:left w:val="single" w:sz="16" w:space="4" w:color="1F3864"/>
        </w:pBdr>
      </w:pPr>
      <w:r>
        <w:rPr>
          <w:rFonts w:ascii="Calibri" w:hAnsi="Calibri"/>
          <w:b/>
          <w:i/>
          <w:sz w:val="22"/>
        </w:rPr>
        <w:t xml:space="preserve">Combined day-one resourcing. </w:t>
      </w:r>
      <w:r>
        <w:rPr>
          <w:rFonts w:ascii="Calibri" w:hAnsi="Calibri"/>
          <w:b w:val="0"/>
          <w:i/>
          <w:sz w:val="22"/>
        </w:rPr>
        <w:t xml:space="preserve">MELCO cash ($500K–$1M) + C10 Labs in-kind engineering (~$500K) = </w:t>
      </w:r>
      <w:r>
        <w:rPr>
          <w:rFonts w:ascii="Calibri" w:hAnsi="Calibri"/>
          <w:b/>
          <w:i/>
          <w:sz w:val="22"/>
        </w:rPr>
        <w:t>~$1.0–1.5M of effective build capital at close</w:t>
      </w:r>
      <w:r>
        <w:rPr>
          <w:rFonts w:ascii="Calibri" w:hAnsi="Calibri"/>
          <w:b w:val="0"/>
          <w:i/>
          <w:sz w:val="22"/>
        </w:rPr>
        <w:t>, which carries NewCo to a priced seed without burning cash on early engineering hires.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MELCO's investment is structured as either (a) a SAFE that converts at the seed with a 20% discount, or (b) primary equity at the founding valuation. The seed is priced by an independent external lead, which protects Mitsubishi Electric from internal-transfer-pricing scrutiny and gives the company a defensible market valuation for downstream rounds.</w:t>
      </w:r>
    </w:p>
    <w:p>
      <w:pPr>
        <w:spacing w:before="200" w:after="40"/>
      </w:pPr>
      <w:r>
        <w:rPr>
          <w:rFonts w:ascii="Calibri" w:hAnsi="Calibri"/>
          <w:b/>
          <w:color w:val="1F3864"/>
          <w:sz w:val="24"/>
        </w:rPr>
        <w:t>10.4 Commercial milestones underwriting the plan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First 90 days: </w:t>
      </w:r>
      <w:r>
        <w:rPr>
          <w:rFonts w:ascii="Calibri" w:hAnsi="Calibri"/>
          <w:b w:val="0"/>
          <w:i w:val="0"/>
          <w:sz w:val="22"/>
        </w:rPr>
        <w:t>Convert Texas DoT and Louisiana DoT relationships into two paid pilots under existing FAA grants; formalize Texas CAAT into a working-group seat; stand up the reusable mission-assurance SOW.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6–12 months: </w:t>
      </w:r>
      <w:r>
        <w:rPr>
          <w:rFonts w:ascii="Calibri" w:hAnsi="Calibri"/>
          <w:b w:val="0"/>
          <w:i w:val="0"/>
          <w:sz w:val="22"/>
        </w:rPr>
        <w:t>3–5 signed DoT or DoT-adjacent pilots, ≥1 multi-year enterprise contract; 2 airframe OEM integration partnerships; ARR run-rate sufficient to start the Series A conversation in month 12–15.</w:t>
      </w:r>
    </w:p>
    <w:p>
      <w:pPr>
        <w:spacing w:before="200" w:after="40"/>
      </w:pPr>
      <w:r>
        <w:rPr>
          <w:rFonts w:ascii="Calibri" w:hAnsi="Calibri"/>
          <w:b/>
          <w:color w:val="1F3864"/>
          <w:sz w:val="24"/>
        </w:rPr>
        <w:t>10.5 Governance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Board (5 seats at close): </w:t>
      </w:r>
      <w:r>
        <w:rPr>
          <w:rFonts w:ascii="Calibri" w:hAnsi="Calibri"/>
          <w:b w:val="0"/>
          <w:i w:val="0"/>
          <w:sz w:val="22"/>
        </w:rPr>
        <w:t>2 MELCO (incl. Satoshi Takeda), 1 C10 Labs (Shahid Azim), 1 CEO, 1 independent (jointly nominated).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MELCO protective provisions: </w:t>
      </w:r>
      <w:r>
        <w:rPr>
          <w:rFonts w:ascii="Calibri" w:hAnsi="Calibri"/>
          <w:b w:val="0"/>
          <w:i w:val="0"/>
          <w:sz w:val="22"/>
        </w:rPr>
        <w:t>consent on (a) change of control, (b) transactions with a direct ME competitor, (c) material changes to the IP license, (d) issuance of senior preferred above an agreed cap.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Information rights: </w:t>
      </w:r>
      <w:r>
        <w:rPr>
          <w:rFonts w:ascii="Calibri" w:hAnsi="Calibri"/>
          <w:b w:val="0"/>
          <w:i w:val="0"/>
          <w:sz w:val="22"/>
        </w:rPr>
        <w:t>monthly reporting + quarterly strategic review to MELCO and C10 Labs.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Anti-dilution: </w:t>
      </w:r>
      <w:r>
        <w:rPr>
          <w:rFonts w:ascii="Calibri" w:hAnsi="Calibri"/>
          <w:b w:val="0"/>
          <w:i w:val="0"/>
          <w:sz w:val="22"/>
        </w:rPr>
        <w:t>MELCO and C10 Labs participate pro rata in seed and Series A; MELCO's strategic stake is otherwise non-anti-diluted to keep the structure investor-friendly.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11. Risks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32"/>
            <w:shd w:fill="1F386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Risk</w:t>
            </w:r>
          </w:p>
        </w:tc>
        <w:tc>
          <w:tcPr>
            <w:tcW w:type="dxa" w:w="5472"/>
            <w:shd w:fill="1F3864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4032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Internal ME stakeholders block IP carve-out</w:t>
            </w:r>
          </w:p>
        </w:tc>
        <w:tc>
          <w:tcPr>
            <w:tcW w:type="dxa" w:w="5472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Narrow, time-boxed field-of-use carve-outs; Satoshi Takeda pre-clears the path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CEO recruiting slips past 90 days</w:t>
            </w:r>
          </w:p>
        </w:tc>
        <w:tc>
          <w:tcPr>
            <w:tcW w:type="dxa" w:w="5472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C10 Labs runs an interim operating GM from day one so customer momentum doesn't stall</w:t>
            </w:r>
          </w:p>
        </w:tc>
      </w:tr>
      <w:tr>
        <w:tc>
          <w:tcPr>
            <w:tcW w:type="dxa" w:w="4032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DoT pilots slip past FAA reporting windows</w:t>
            </w:r>
          </w:p>
        </w:tc>
        <w:tc>
          <w:tcPr>
            <w:tcW w:type="dxa" w:w="5472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Reusable mission-assurance SOW + dedicated deployment lead; phased deliverables so partial results still report well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Seed market softens</w:t>
            </w:r>
          </w:p>
        </w:tc>
        <w:tc>
          <w:tcPr>
            <w:tcW w:type="dxa" w:w="5472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MELCO investment + C10 Labs syndicate provides a 12-month bridge regardless of external market</w:t>
            </w:r>
          </w:p>
        </w:tc>
      </w:tr>
      <w:tr>
        <w:tc>
          <w:tcPr>
            <w:tcW w:type="dxa" w:w="4032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"Corporate spin-out = slow" perception</w:t>
            </w:r>
          </w:p>
        </w:tc>
        <w:tc>
          <w:tcPr>
            <w:tcW w:type="dxa" w:w="5472"/>
            <w:shd w:fill="F4F7FB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Independent board majority and external-led seed signal venture-grade governance from day one</w:t>
            </w:r>
          </w:p>
        </w:tc>
      </w:tr>
    </w:tbl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12. Open Items to Align with MELIC's May 15 Memo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These are the items where this companion memo carries a specific C10 Labs position that should land with Zafer before going to executive leadership. All sit cleanly inside the "Key Items to Resolve" set in MELIC's memo.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C10 Labs contribution structure. </w:t>
      </w:r>
      <w:r>
        <w:rPr>
          <w:rFonts w:ascii="Calibri" w:hAnsi="Calibri"/>
          <w:b w:val="0"/>
          <w:i w:val="0"/>
          <w:sz w:val="22"/>
        </w:rPr>
        <w:t xml:space="preserve">MELIC's memo lists C10 Labs as investing $250K plus acceleration support. This companion memo proposes C10 Labs as a </w:t>
      </w:r>
      <w:r>
        <w:rPr>
          <w:rFonts w:ascii="Calibri" w:hAnsi="Calibri"/>
          <w:b/>
          <w:i w:val="0"/>
          <w:sz w:val="22"/>
        </w:rPr>
        <w:t>non-cash build partner</w:t>
      </w:r>
      <w:r>
        <w:rPr>
          <w:rFonts w:ascii="Calibri" w:hAnsi="Calibri"/>
          <w:b w:val="0"/>
          <w:i w:val="0"/>
          <w:sz w:val="22"/>
        </w:rPr>
        <w:t xml:space="preserve"> whose contribution is (a) the acceleration / founder-team formation / GTM / fundraising stack and (b) </w:t>
      </w:r>
      <w:r>
        <w:rPr>
          <w:rFonts w:ascii="Calibri" w:hAnsi="Calibri"/>
          <w:b/>
          <w:i w:val="0"/>
          <w:sz w:val="22"/>
        </w:rPr>
        <w:t>~$500K of in-kind engineering services — 4 development engineers embedded for a minimum of 12 months</w:t>
      </w:r>
      <w:r>
        <w:rPr>
          <w:rFonts w:ascii="Calibri" w:hAnsi="Calibri"/>
          <w:b w:val="0"/>
          <w:i w:val="0"/>
          <w:sz w:val="22"/>
        </w:rPr>
        <w:t>. Any C10 cash contribution (including the $250K in MELIC's memo) would be treated as a separate, optional line. To resolve in the term sheet.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Equity allocation. </w:t>
      </w:r>
      <w:r>
        <w:rPr>
          <w:rFonts w:ascii="Calibri" w:hAnsi="Calibri"/>
          <w:b w:val="0"/>
          <w:i w:val="0"/>
          <w:sz w:val="22"/>
        </w:rPr>
        <w:t>MELIC's memo specifies no fixed percentages; this memo carries 40 / 40 / 15 / 5 as an illustrative opening position. Final %s come out of the negotiation against the principle in §10.1.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MELCO check size and instrument. </w:t>
      </w:r>
      <w:r>
        <w:rPr>
          <w:rFonts w:ascii="Calibri" w:hAnsi="Calibri"/>
          <w:b w:val="0"/>
          <w:i w:val="0"/>
          <w:sz w:val="22"/>
        </w:rPr>
        <w:t>$500K–$1M range matches MELIC's memo; SAFE-with-discount vs primary equity to be selected in the term sheet.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sz w:val="22"/>
        </w:rPr>
        <w:t xml:space="preserve">IP / license, field-of-use, customer / partner / corridor transfer, follow-on rights, security / data / regulatory / export-control. </w:t>
      </w:r>
      <w:r>
        <w:rPr>
          <w:rFonts w:ascii="Calibri" w:hAnsi="Calibri"/>
          <w:b w:val="0"/>
          <w:i w:val="0"/>
          <w:sz w:val="22"/>
        </w:rPr>
        <w:t>All addressed in §§7, 10.5; aligned with the "Key Items to Resolve" set in MELIC's memo.</w:t>
      </w:r>
    </w:p>
    <w:p>
      <w:pPr>
        <w:spacing w:before="320" w:after="80"/>
        <w:pBdr>
          <w:bottom w:val="single" w:sz="4" w:space="1" w:color="D0D7E2"/>
        </w:pBdr>
      </w:pPr>
      <w:r>
        <w:rPr>
          <w:rFonts w:ascii="Calibri" w:hAnsi="Calibri"/>
          <w:b/>
          <w:color w:val="1F3864"/>
          <w:sz w:val="30"/>
        </w:rPr>
        <w:t>13. Vision &amp; The Ask</w:t>
      </w:r>
    </w:p>
    <w:p>
      <w:pPr>
        <w:spacing w:before="200" w:after="40"/>
      </w:pPr>
      <w:r>
        <w:rPr>
          <w:rFonts w:ascii="Calibri" w:hAnsi="Calibri"/>
          <w:b/>
          <w:color w:val="1F3864"/>
          <w:sz w:val="24"/>
        </w:rPr>
        <w:t>13.1 Vision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In five years, AnyMile is the default mission-assurance layer for autonomous logistics in the United States and the reference evidence protocol that international airspace authorities adopt as their BVLOS regimes mature. MELCO holds a strategic position in the category-defining platform without ME carrying it as a P&amp;L line item; MELIC has proof of its orchestration-model thesis; C10 Labs has its flagship regulated-infrastructure spin-out; the operating team has built a venture-grade independent company.</w:t>
      </w:r>
    </w:p>
    <w:p>
      <w:pPr>
        <w:spacing w:before="200" w:after="40"/>
      </w:pPr>
      <w:r>
        <w:rPr>
          <w:rFonts w:ascii="Calibri" w:hAnsi="Calibri"/>
          <w:b/>
          <w:color w:val="1F3864"/>
          <w:sz w:val="24"/>
        </w:rPr>
        <w:t>13.2 The ask (companion to MELIC's "Decision Requested")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MELIC's executive memo asks leadership to authorize structured negotiations with C10 Labs toward a preliminary term sheet. This companion memo asks Zafer to:</w:t>
      </w:r>
    </w:p>
    <w:p>
      <w:pPr>
        <w:pStyle w:val="ListNumber"/>
        <w:spacing w:before="0" w:after="40"/>
      </w:pPr>
      <w:r>
        <w:rPr>
          <w:rFonts w:ascii="Calibri" w:hAnsi="Calibri"/>
          <w:b/>
          <w:i w:val="0"/>
          <w:sz w:val="22"/>
        </w:rPr>
        <w:t>Carry C10 Labs' opening position</w:t>
      </w:r>
      <w:r>
        <w:rPr>
          <w:rFonts w:ascii="Calibri" w:hAnsi="Calibri"/>
          <w:b w:val="0"/>
          <w:i w:val="0"/>
          <w:sz w:val="22"/>
        </w:rPr>
        <w:t xml:space="preserve"> (§§9–10 above) into those negotiations once authorized.</w:t>
      </w:r>
    </w:p>
    <w:p>
      <w:pPr>
        <w:pStyle w:val="ListNumber"/>
        <w:spacing w:before="0" w:after="40"/>
      </w:pPr>
      <w:r>
        <w:rPr>
          <w:rFonts w:ascii="Calibri" w:hAnsi="Calibri"/>
          <w:b/>
          <w:i w:val="0"/>
          <w:sz w:val="22"/>
        </w:rPr>
        <w:t>Confirm Satoshi Takeda</w:t>
      </w:r>
      <w:r>
        <w:rPr>
          <w:rFonts w:ascii="Calibri" w:hAnsi="Calibri"/>
          <w:b w:val="0"/>
          <w:i w:val="0"/>
          <w:sz w:val="22"/>
        </w:rPr>
        <w:t xml:space="preserve"> as the ME-side board sponsor and executive air-cover for the spin-out.</w:t>
      </w:r>
    </w:p>
    <w:p>
      <w:pPr>
        <w:pStyle w:val="ListNumber"/>
        <w:spacing w:before="0" w:after="40"/>
      </w:pPr>
      <w:r>
        <w:rPr>
          <w:rFonts w:ascii="Calibri" w:hAnsi="Calibri"/>
          <w:b/>
          <w:i w:val="0"/>
          <w:sz w:val="22"/>
        </w:rPr>
        <w:t>Green-light the Texas DoT and Louisiana DoT pilot conversations</w:t>
      </w:r>
      <w:r>
        <w:rPr>
          <w:rFonts w:ascii="Calibri" w:hAnsi="Calibri"/>
          <w:b w:val="0"/>
          <w:i w:val="0"/>
          <w:sz w:val="22"/>
        </w:rPr>
        <w:t xml:space="preserve"> to proceed under a "spin-out pending" posture so the FAA reporting window is not lost.</w:t>
      </w:r>
    </w:p>
    <w:p>
      <w:pPr>
        <w:pStyle w:val="ListNumber"/>
        <w:spacing w:before="0" w:after="40"/>
      </w:pPr>
      <w:r>
        <w:rPr>
          <w:rFonts w:ascii="Calibri" w:hAnsi="Calibri"/>
          <w:b/>
          <w:i w:val="0"/>
          <w:sz w:val="22"/>
        </w:rPr>
        <w:t>Target a signed term sheet by end of July</w:t>
      </w:r>
      <w:r>
        <w:rPr>
          <w:rFonts w:ascii="Calibri" w:hAnsi="Calibri"/>
          <w:b w:val="0"/>
          <w:i w:val="0"/>
          <w:sz w:val="22"/>
        </w:rPr>
        <w:t xml:space="preserve"> between MELCO, MELIC, and C10 Labs, with NewCo legal close in August.</w:t>
      </w:r>
    </w:p>
    <w:p>
      <w:pPr>
        <w:spacing w:before="280" w:after="160"/>
        <w:pBdr>
          <w:bottom w:val="single" w:sz="4" w:space="1" w:color="C8C8C8"/>
        </w:pBdr>
      </w:pPr>
    </w:p>
    <w:p>
      <w:pPr>
        <w:spacing w:before="400"/>
        <w:jc w:val="center"/>
      </w:pPr>
      <w:r>
        <w:rPr>
          <w:rFonts w:ascii="Calibri" w:hAnsi="Calibri"/>
          <w:i/>
          <w:color w:val="555555"/>
          <w:sz w:val="18"/>
        </w:rPr>
        <w:t>Prepared by Shahid Azim, C10 Labs · Draft v6 · Sequoia deal-memo structure, aligned to MELIC May 15, 2026 executive memo · 2026-05-16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