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center"/>
        <w:tblInd w:w="0" w:type="dxa"/>
        <w:tblW w:w="15381" w:type="dxa"/>
        <w:pPr>
          <w:spacing/>
          <w:jc w:val="center"/>
          <w:suppressAutoHyphens/>
          <w:hyphenationLines w:val="0"/>
          <w:rPr>
            <w:color w:val="000000"/>
          </w:rPr>
        </w:pPr>
        <w:tblLook w:val="04A0" w:firstRow="1" w:lastRow="0" w:firstColumn="1" w:lastColumn="0" w:noHBand="0" w:noVBand="1"/>
      </w:tblPr>
      <w:tblGrid>
        <w:gridCol w:w="945"/>
        <w:gridCol w:w="2558"/>
        <w:gridCol w:w="4908"/>
        <w:gridCol w:w="6970"/>
      </w:tblGrid>
      <w:tr>
        <w:trPr>
          <w:tblHeader w:val="0"/>
          <w:cantSplit w:val="0"/>
          <w:trHeight w:val="0" w:hRule="auto"/>
        </w:trPr>
        <w:tc>
          <w:tcPr>
            <w:tcW w:w="945" w:type="dxa"/>
            <w:tmTcPr id="1700759576" protected="0"/>
          </w:tcPr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558" w:type="dxa"/>
            <w:tmTcPr id="1700759576" protected="0"/>
          </w:tcPr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Method Name</w:t>
            </w:r>
          </w:p>
        </w:tc>
        <w:tc>
          <w:tcPr>
            <w:tcW w:w="4908" w:type="dxa"/>
            <w:tmTcPr id="1700759576" protected="0"/>
          </w:tcPr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Benifits</w:t>
            </w:r>
          </w:p>
        </w:tc>
        <w:tc>
          <w:tcPr>
            <w:tcW w:w="6970" w:type="dxa"/>
            <w:tmTcPr id="1700759576" protected="0"/>
          </w:tcPr>
          <w:p>
            <w:pPr>
              <w:spacing/>
              <w:jc w:val="center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  <w:t>Limitations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Graphical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This graphical method provides a visual representation of the system of equations. It is suitable for two variables equations on a two-dimensional plane.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impractical for systems with more than two variables.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Difficult to visualize and plot equations in higher dimensions.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They may not yield precise values unless the graph is carefully constructed.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Infeasible for non-linear or complex equations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Substitution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It is relatively easy to understand and implement.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It follows a systematic step-by-step process to track every step.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There is chance make mistakes when dealing with multiple variables and equations.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It is not effective for systems with non-linear equations.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It has a limited effeciency when dealing with systems with a large number of equations.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Elimination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Simplicity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Versatility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Exact Solutions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Conceptual Understanding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Complexity with non-linear equations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Time-consuming for large systems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Potential for errors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Dependency on initial equations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Matrix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Compact Representation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Efficient Computation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Solution Existance and Uniquness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Scalibility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Complexity with Non-linear Equations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Matrix Inversion Difficulties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Sensitivity to Rounding Errors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Conceptual Understanding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Gaussian Elimination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Systematic and algorithmic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Exact Solutions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Versatility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Efficiency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Complexity with non-linear equations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Sensitivity to rounding errors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Dependency on initial equations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Computational complexity for large systems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Gauss-Jordon Elimination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Exact Solutions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Uniqueness of Solutions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Diagonal Matrix Form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Elimination of Free Variables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Complexity with non-linear equations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Sensitivity to rounding errors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Computational complexity for large systems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Dependency on initial equations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LU (Lower Upper) Decomposition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Efficiency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Numerical Stability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Inverse and Determinant Computation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Matrix Inversion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Applicability to square matrices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Lack of existence or uniqueness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Additional storage requirements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Sensitivity to pivoting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SVD (Singular Value Decomposition Method)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Dimensionality reduction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Robustness to noise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Data compression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Pseudoinverse computation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Computational complexity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Interpretability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Lack of uniqueness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Sensitivity to scaling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Iterative Method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Efficiency for large-scale problems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Flexibility and adaptability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Convergence monitoring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Incremental and online computation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Convergence rate and speed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Sensitivity to initial guess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Iteration termination criteria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Dependence on problem characteristics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5" w:type="dxa"/>
            <w:vAlign w:val="center"/>
            <w:tcMar>
              <w:left w:w="432" w:type="dxa"/>
              <w:right w:w="0" w:type="dxa"/>
            </w:tcMar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58" w:type="dxa"/>
            <w:vAlign w:val="center"/>
            <w:tcMar>
              <w:right w:w="0" w:type="dxa"/>
            </w:tcMar>
            <w:tmTcPr id="170075957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Cramer's Rule</w:t>
            </w:r>
          </w:p>
        </w:tc>
        <w:tc>
          <w:tcPr>
            <w:tcW w:w="4908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Simplicity and clarity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Exact solutions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Independence of equations</w:t>
            </w:r>
          </w:p>
        </w:tc>
        <w:tc>
          <w:tcPr>
            <w:tcW w:w="6970" w:type="dxa"/>
            <w:tmTcPr id="170075957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1. Computational inefficiency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2. Sensitivity to matrix properties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3. Numerical stability</w:t>
            </w:r>
          </w:p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4. Limited applicability</w:t>
            </w:r>
          </w:p>
        </w:tc>
      </w:tr>
    </w:tbl>
    <w:p>
      <w:pPr>
        <w:spacing/>
        <w:jc w:val="center"/>
        <w:suppressAutoHyphens/>
        <w:hyphenationLines w:val="0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</w:r>
    </w:p>
    <w:p>
      <w:pPr>
        <w:spacing/>
        <w:jc w:val="center"/>
        <w:suppressAutoHyphens/>
        <w:hyphenationLines w:val="0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</w:r>
    </w:p>
    <w:p>
      <w:pPr>
        <w:spacing w:after="23" w:line="384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ff0000"/>
          <w:sz w:val="30"/>
          <w:lang w:val="en-us" w:eastAsia="zh-cn" w:bidi="ar-sa"/>
        </w:rPr>
      </w:pPr>
      <w:r>
        <w:rPr>
          <w:rFonts w:ascii="Arial" w:hAnsi="Arial" w:eastAsia="Arial" w:cs="Arial"/>
          <w:color w:val="ff0000"/>
          <w:sz w:val="30"/>
          <w:lang w:val="en-us" w:eastAsia="zh-cn" w:bidi="ar-sa"/>
        </w:rPr>
        <w:t>The below table has been copied from day-48 lecture “Advance Methods”</w:t>
      </w:r>
    </w:p>
    <w:tbl>
      <w:tblPr>
        <w:name w:val="Table2"/>
        <w:tabOrder w:val="0"/>
        <w:jc w:val="left"/>
        <w:tblInd w:w="0" w:type="dxa"/>
        <w:tblW w:w="15400" w:type="dxa"/>
        <w:pPr>
          <w:spacing w:after="23" w:line="384" w:lineRule="auto"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  <w:color w:val="000000"/>
            <w:sz w:val="24"/>
            <w:lang w:val="en-us" w:eastAsia="zh-cn" w:bidi="ar-sa"/>
          </w:rPr>
        </w:pPr>
      </w:tblPr>
      <w:tblGrid>
        <w:gridCol w:w="3080"/>
        <w:gridCol w:w="1555"/>
        <w:gridCol w:w="4605"/>
        <w:gridCol w:w="3080"/>
        <w:gridCol w:w="3080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  <w:t>Method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  <w:t>Typical Equation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  <w:t>Steps to Resolve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  <w:t>Limitations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  <w:lang w:val="en-us" w:eastAsia="zh-cn" w:bidi="ar-sa"/>
              </w:rPr>
              <w:t>Benefits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Graphical Method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y = mx + c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Plot each equation and find intersection points.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Impractical for more than 2 variables; accuracy depends on scale.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Intuitive and visual; good for understanding the nature of solutions.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Substitution Method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x + y = b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Solve one equation for a variable, substitute it into others, and solve.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Can be cumbersome for complex systems.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Simple and straightforward for small systems.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Elimination Method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+ by = c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Add or subtract equations to eliminate a variable, then solve for others.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Can get complex with many variables.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Effective for linear equations; straightforward for small systems.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Matrix Method (Inversion)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= B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Formulate matrix equation, calculate inverse of A, compute A</w:t>
            </w:r>
            <w:r>
              <w:rPr>
                <w:rFonts w:ascii="Arial" w:hAnsi="Arial" w:eastAsia="Arial" w:cs="Arial"/>
                <w:color w:val="000000"/>
                <w:sz w:val="18"/>
                <w:vertAlign w:val="superscript"/>
                <w:lang w:val="en-us" w:eastAsia="zh-cn" w:bidi="ar-sa"/>
              </w:rPr>
              <w:t>-1</w:t>
            </w: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B.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Infeasible for non-square or singular matrices.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Systematic and precise; good for complex systems.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Gaussian Elimination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= B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Convert to upper triangular form using row operations, then back substitute.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Can be computationally intensive for large matrices.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General method, applicable to most systems.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Gauss-Jordan Elimination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= B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Reduce matrix to row echelon form, directly read off solutions.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Similar to Gaussian; can be computationally intensive.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Simplifies to a direct solution without back substitution.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LU Decomposition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= B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Decompose A into LU, solve Ly = B and then Ux = y.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Requires additional steps to perform decomposition.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Efficient for multiple systems with the same A.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Singular Value Decomposition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= B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Decompose A into U, Σ, V, use these to solve the system.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Complex and requires understanding of advanced linear algebra.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Powerful in data science and for ill-conditioned systems.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Iterative Methods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= B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Start with a guess, iteratively refine the solution.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Convergence can be slow; not always guaranteed.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Useful for very large systems where direct methods fail.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Cramer’s Rule</w:t>
            </w:r>
          </w:p>
        </w:tc>
        <w:tc>
          <w:tcPr>
            <w:tcW w:w="50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ax + by = c</w:t>
            </w:r>
          </w:p>
        </w:tc>
        <w:tc>
          <w:tcPr>
            <w:tcW w:w="149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Use determinants to solve, each variable calculated separately.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Only for square matrices with non-zero determinants.</w:t>
            </w:r>
          </w:p>
        </w:tc>
        <w:tc>
          <w:tcPr>
            <w:tcW w:w="10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0759576" protected="0"/>
          </w:tcPr>
          <w:p>
            <w:pPr>
              <w:spacing w:line="384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us" w:eastAsia="zh-cn" w:bidi="ar-sa"/>
              </w:rPr>
              <w:t>Straightforward for small systems; provides direct solution.</w:t>
            </w:r>
          </w:p>
        </w:tc>
      </w:tr>
    </w:tbl>
    <w:p>
      <w:pPr>
        <w:spacing w:after="23" w:line="384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lang w:val="en-us" w:eastAsia="zh-cn" w:bidi="ar-sa"/>
        </w:rPr>
      </w:pPr>
      <w:r>
        <w:rPr>
          <w:color w:val="000000"/>
          <w:sz w:val="24"/>
          <w:lang w:val="en-us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1907" w:w="16840" w:orient="landscape"/>
      <w:pgMar w:left="720" w:top="792" w:right="720" w:bottom="792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Historic">
    <w:panose1 w:val="020B0502040204020203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Verdana">
    <w:panose1 w:val="020B060403050404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47"/>
    <w:tmLastPosCaret>
      <w:tmLastPosPgfIdx w:val="0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700759576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Macro Text"/>
    <w:qFormat/>
    <w:basedOn w:val="para0"/>
    <w:pPr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 w:eastAsia="Courier New" w:cs="Courier New"/>
    </w:rPr>
  </w:style>
  <w:style w:type="paragraph" w:styleId="para2">
    <w:name w:val="heading 1"/>
    <w:qFormat/>
    <w:basedOn w:val="para1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3">
    <w:name w:val="heading 2"/>
    <w:qFormat/>
    <w:basedOn w:val="para2"/>
    <w:next w:val="para0"/>
    <w:pPr>
      <w:outlineLvl w:val="1"/>
    </w:pPr>
    <w:rPr>
      <w:sz w:val="32"/>
      <w:szCs w:val="32"/>
    </w:rPr>
    <w:key w:val="1074"/>
  </w:style>
  <w:style w:type="paragraph" w:styleId="para4">
    <w:name w:val="heading 3"/>
    <w:qFormat/>
    <w:basedOn w:val="para3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Macro Text"/>
    <w:qFormat/>
    <w:basedOn w:val="para0"/>
    <w:pPr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 w:eastAsia="Courier New" w:cs="Courier New"/>
    </w:rPr>
  </w:style>
  <w:style w:type="paragraph" w:styleId="para2">
    <w:name w:val="heading 1"/>
    <w:qFormat/>
    <w:basedOn w:val="para1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3">
    <w:name w:val="heading 2"/>
    <w:qFormat/>
    <w:basedOn w:val="para2"/>
    <w:next w:val="para0"/>
    <w:pPr>
      <w:outlineLvl w:val="1"/>
    </w:pPr>
    <w:rPr>
      <w:sz w:val="32"/>
      <w:szCs w:val="32"/>
    </w:rPr>
    <w:key w:val="1074"/>
  </w:style>
  <w:style w:type="paragraph" w:styleId="para4">
    <w:name w:val="heading 3"/>
    <w:qFormat/>
    <w:basedOn w:val="para3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ourier New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2023-02-27T07:35:14Z</dcterms:created>
  <dcterms:modified xsi:type="dcterms:W3CDTF">2023-11-23T17:12:56Z</dcterms:modified>
</cp:coreProperties>
</file>