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63A5F"/>
          <w:sz w:val="56"/>
        </w:rPr>
        <w:t>SAHAKAR-LINK</w:t>
      </w:r>
    </w:p>
    <w:p>
      <w:pPr>
        <w:jc w:val="center"/>
      </w:pPr>
      <w:r>
        <w:rPr>
          <w:b/>
          <w:color w:val="2563EB"/>
          <w:sz w:val="40"/>
        </w:rPr>
        <w:t>Business Requirements Document (BRD)</w:t>
      </w:r>
    </w:p>
    <w:p>
      <w:pPr>
        <w:jc w:val="center"/>
      </w:pPr>
      <w:r>
        <w:rPr>
          <w:color w:val="64748B"/>
          <w:sz w:val="22"/>
        </w:rPr>
        <w:t>Business operating model, stakeholder requirements, outcomes, governance and adoption baseline</w:t>
      </w:r>
    </w:p>
    <w:tbl>
      <w:tblPr>
        <w:tblW w:type="auto" w:w="0"/>
        <w:jc w:val="center"/>
        <w:tblLayout w:type="fixed"/>
        <w:tblLook w:firstColumn="1" w:firstRow="1" w:lastColumn="0" w:lastRow="0" w:noHBand="0" w:noVBand="1" w:val="04A0"/>
      </w:tblPr>
      <w:tblGrid>
        <w:gridCol w:w="259"/>
        <w:gridCol w:w="9936"/>
      </w:tblGrid>
      <w:tr>
        <w:trPr>
          <w:cantSplit/>
        </w:trPr>
        <w:tc>
          <w:tcPr>
            <w:tcW w:type="dxa" w:w="5112"/>
            <w:shd w:fill="0F766E"/>
          </w:tcPr>
          <w:p/>
        </w:tc>
        <w:tc>
          <w:tcPr>
            <w:tcW w:type="dxa" w:w="5112"/>
            <w:shd w:fill="EEF4FF"/>
          </w:tcPr>
          <w:p>
            <w:r>
              <w:rPr>
                <w:b/>
                <w:color w:val="0F766E"/>
                <w:sz w:val="19"/>
              </w:rPr>
              <w:t>PRODUCT POSITIONING</w:t>
            </w:r>
            <w:r>
              <w:rPr>
                <w:color w:val="17324D"/>
                <w:sz w:val="19"/>
              </w:rPr>
              <w:br/>
              <w:t>A hardware-agnostic, offline-first digital operating system connecting cooperative training from nomination through verified skills and employment outcomes.</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63A5F"/>
            <w:vAlign w:val="center"/>
            <w:tcBorders>
              <w:top w:val="single" w:sz="4" w:color="D9E5F2"/>
              <w:left w:val="single" w:sz="4" w:color="D9E5F2"/>
              <w:bottom w:val="single" w:sz="4" w:color="D9E5F2"/>
              <w:right w:val="single" w:sz="4" w:color="D9E5F2"/>
            </w:tcBorders>
          </w:tcPr>
          <w:p>
            <w:r/>
            <w:r>
              <w:rPr>
                <w:b/>
                <w:color w:val="FFFFFF"/>
                <w:sz w:val="18"/>
              </w:rPr>
              <w:t>Item</w:t>
            </w:r>
          </w:p>
        </w:tc>
        <w:tc>
          <w:tcPr>
            <w:tcW w:type="dxa" w:w="6912"/>
            <w:shd w:fill="163A5F"/>
            <w:vAlign w:val="center"/>
            <w:tcBorders>
              <w:top w:val="single" w:sz="4" w:color="D9E5F2"/>
              <w:left w:val="single" w:sz="4" w:color="D9E5F2"/>
              <w:bottom w:val="single" w:sz="4" w:color="D9E5F2"/>
              <w:right w:val="single" w:sz="4" w:color="D9E5F2"/>
            </w:tcBorders>
          </w:tcPr>
          <w:p>
            <w:r/>
            <w:r>
              <w:rPr>
                <w:b/>
                <w:color w:val="FFFFFF"/>
                <w:sz w:val="18"/>
              </w:rPr>
              <w:t>Value</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Problem Statement</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SIH26087 — AI &amp; LMS-Enabled Cooperative Capacity Building, ERP &amp; Employment Ecosystem</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Organization</w:t>
            </w:r>
          </w:p>
        </w:tc>
        <w:tc>
          <w:tcPr>
            <w:tcW w:type="dxa" w:w="6912"/>
            <w:vAlign w:val="center"/>
            <w:tcBorders>
              <w:top w:val="single" w:sz="4" w:color="D9E5F2"/>
              <w:left w:val="single" w:sz="4" w:color="D9E5F2"/>
              <w:bottom w:val="single" w:sz="4" w:color="D9E5F2"/>
              <w:right w:val="single" w:sz="4" w:color="D9E5F2"/>
            </w:tcBorders>
          </w:tcPr>
          <w:p>
            <w:r/>
            <w:r>
              <w:rPr>
                <w:b w:val="0"/>
                <w:color w:val="17324D"/>
                <w:sz w:val="18"/>
              </w:rPr>
              <w:t>Ministry of Cooperation / National Council for Cooperative Training (NCCT)</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Category / Theme</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Hardware / Smart Education</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Architecture stance</w:t>
            </w:r>
          </w:p>
        </w:tc>
        <w:tc>
          <w:tcPr>
            <w:tcW w:type="dxa" w:w="6912"/>
            <w:vAlign w:val="center"/>
            <w:tcBorders>
              <w:top w:val="single" w:sz="4" w:color="D9E5F2"/>
              <w:left w:val="single" w:sz="4" w:color="D9E5F2"/>
              <w:bottom w:val="single" w:sz="4" w:color="D9E5F2"/>
              <w:right w:val="single" w:sz="4" w:color="D9E5F2"/>
            </w:tcBorders>
          </w:tcPr>
          <w:p>
            <w:r/>
            <w:r>
              <w:rPr>
                <w:b w:val="0"/>
                <w:color w:val="17324D"/>
                <w:sz w:val="18"/>
              </w:rPr>
              <w:t>Software-first, hardware-agnostic; optional local compute where available</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Document status</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Working baseline for SIH design and implementation</w:t>
            </w:r>
          </w:p>
        </w:tc>
      </w:tr>
    </w:tbl>
    <w:p>
      <w:pPr>
        <w:spacing w:after="20"/>
      </w:pPr>
    </w:p>
    <w:p>
      <w:r>
        <w:br w:type="page"/>
      </w:r>
    </w:p>
    <w:p>
      <w:pPr>
        <w:pStyle w:val="Heading1"/>
      </w:pPr>
      <w:r>
        <w:t>01. Executive Business Summary</w:t>
      </w:r>
    </w:p>
    <w:p>
      <w:r>
        <w:t>Sahakar-Link is a proposed digital operating system for cooperative training institutions. Its business purpose is to unify fragmented training administration, learning delivery, verified skill evidence and employer linkage into one lifecycle while preserving service continuity under unreliable connectivity.</w:t>
      </w:r>
    </w:p>
    <w:tbl>
      <w:tblPr>
        <w:tblW w:type="auto" w:w="0"/>
        <w:jc w:val="center"/>
        <w:tblLayout w:type="fixed"/>
        <w:tblLook w:firstColumn="1" w:firstRow="1" w:lastColumn="0" w:lastRow="0" w:noHBand="0" w:noVBand="1" w:val="04A0"/>
      </w:tblPr>
      <w:tblGrid>
        <w:gridCol w:w="259"/>
        <w:gridCol w:w="9936"/>
      </w:tblGrid>
      <w:tr>
        <w:trPr>
          <w:cantSplit/>
        </w:trPr>
        <w:tc>
          <w:tcPr>
            <w:tcW w:type="dxa" w:w="5112"/>
            <w:shd w:fill="15803D"/>
          </w:tcPr>
          <w:p/>
        </w:tc>
        <w:tc>
          <w:tcPr>
            <w:tcW w:type="dxa" w:w="5112"/>
            <w:shd w:fill="ECFDF5"/>
          </w:tcPr>
          <w:p>
            <w:r>
              <w:rPr>
                <w:b/>
                <w:color w:val="15803D"/>
                <w:sz w:val="19"/>
              </w:rPr>
              <w:t>BUSINESS THESIS</w:t>
            </w:r>
            <w:r>
              <w:rPr>
                <w:color w:val="17324D"/>
                <w:sz w:val="19"/>
              </w:rPr>
              <w:br/>
              <w:t>The value is not “another LMS”. The value is a single, evidence-driven training-to-employment lifecycle that keeps frontline work functioning locally and synchronizes trusted outcomes centrally.</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A5F"/>
            <w:vAlign w:val="center"/>
            <w:tcBorders>
              <w:top w:val="single" w:sz="4" w:color="D9E5F2"/>
              <w:left w:val="single" w:sz="4" w:color="D9E5F2"/>
              <w:bottom w:val="single" w:sz="4" w:color="D9E5F2"/>
              <w:right w:val="single" w:sz="4" w:color="D9E5F2"/>
            </w:tcBorders>
          </w:tcPr>
          <w:p>
            <w:r/>
            <w:r>
              <w:rPr>
                <w:b/>
                <w:color w:val="FFFFFF"/>
                <w:sz w:val="18"/>
              </w:rPr>
              <w:t>Business problem</w:t>
            </w:r>
          </w:p>
        </w:tc>
        <w:tc>
          <w:tcPr>
            <w:tcW w:type="dxa" w:w="3168"/>
            <w:shd w:fill="163A5F"/>
            <w:vAlign w:val="center"/>
            <w:tcBorders>
              <w:top w:val="single" w:sz="4" w:color="D9E5F2"/>
              <w:left w:val="single" w:sz="4" w:color="D9E5F2"/>
              <w:bottom w:val="single" w:sz="4" w:color="D9E5F2"/>
              <w:right w:val="single" w:sz="4" w:color="D9E5F2"/>
            </w:tcBorders>
          </w:tcPr>
          <w:p>
            <w:r/>
            <w:r>
              <w:rPr>
                <w:b/>
                <w:color w:val="FFFFFF"/>
                <w:sz w:val="18"/>
              </w:rPr>
              <w:t>Business consequence</w:t>
            </w:r>
          </w:p>
        </w:tc>
        <w:tc>
          <w:tcPr>
            <w:tcW w:type="dxa" w:w="3888"/>
            <w:shd w:fill="163A5F"/>
            <w:vAlign w:val="center"/>
            <w:tcBorders>
              <w:top w:val="single" w:sz="4" w:color="D9E5F2"/>
              <w:left w:val="single" w:sz="4" w:color="D9E5F2"/>
              <w:bottom w:val="single" w:sz="4" w:color="D9E5F2"/>
              <w:right w:val="single" w:sz="4" w:color="D9E5F2"/>
            </w:tcBorders>
          </w:tcPr>
          <w:p>
            <w:r/>
            <w:r>
              <w:rPr>
                <w:b/>
                <w:color w:val="FFFFFF"/>
                <w:sz w:val="18"/>
              </w:rPr>
              <w:t>Required capability</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Fragmented programme administration</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Duplicate effort, inconsistent records, weak visibility</w:t>
            </w:r>
          </w:p>
        </w:tc>
        <w:tc>
          <w:tcPr>
            <w:tcW w:type="dxa" w:w="3888"/>
            <w:shd w:fill="F3F7FB"/>
            <w:vAlign w:val="center"/>
            <w:tcBorders>
              <w:top w:val="single" w:sz="4" w:color="D9E5F2"/>
              <w:left w:val="single" w:sz="4" w:color="D9E5F2"/>
              <w:bottom w:val="single" w:sz="4" w:color="D9E5F2"/>
              <w:right w:val="single" w:sz="4" w:color="D9E5F2"/>
            </w:tcBorders>
          </w:tcPr>
          <w:p>
            <w:r/>
            <w:r>
              <w:rPr>
                <w:b w:val="0"/>
                <w:color w:val="17324D"/>
                <w:sz w:val="18"/>
              </w:rPr>
              <w:t>Unified programme, nomination, profile, timetable, hostel and logistics workflow</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Connectivity-dependent learning</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Interrupted training and submission risk</w:t>
            </w:r>
          </w:p>
        </w:tc>
        <w:tc>
          <w:tcPr>
            <w:tcW w:type="dxa" w:w="3888"/>
            <w:vAlign w:val="center"/>
            <w:tcBorders>
              <w:top w:val="single" w:sz="4" w:color="D9E5F2"/>
              <w:left w:val="single" w:sz="4" w:color="D9E5F2"/>
              <w:bottom w:val="single" w:sz="4" w:color="D9E5F2"/>
              <w:right w:val="single" w:sz="4" w:color="D9E5F2"/>
            </w:tcBorders>
          </w:tcPr>
          <w:p>
            <w:r/>
            <w:r>
              <w:rPr>
                <w:b w:val="0"/>
                <w:color w:val="17324D"/>
                <w:sz w:val="18"/>
              </w:rPr>
              <w:t>Offline-accessible learning with local cache and deferred sync</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Attendance and assessment uncertainty</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Weak evidence of participation and completion</w:t>
            </w:r>
          </w:p>
        </w:tc>
        <w:tc>
          <w:tcPr>
            <w:tcW w:type="dxa" w:w="3888"/>
            <w:shd w:fill="F3F7FB"/>
            <w:vAlign w:val="center"/>
            <w:tcBorders>
              <w:top w:val="single" w:sz="4" w:color="D9E5F2"/>
              <w:left w:val="single" w:sz="4" w:color="D9E5F2"/>
              <w:bottom w:val="single" w:sz="4" w:color="D9E5F2"/>
              <w:right w:val="single" w:sz="4" w:color="D9E5F2"/>
            </w:tcBorders>
          </w:tcPr>
          <w:p>
            <w:r/>
            <w:r>
              <w:rPr>
                <w:b w:val="0"/>
                <w:color w:val="17324D"/>
                <w:sz w:val="18"/>
              </w:rPr>
              <w:t>Face/QR attendance, exception handling, assessment evidence and audit trail</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Skills not easily discoverable</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Employers cannot efficiently interpret training outcomes</w:t>
            </w:r>
          </w:p>
        </w:tc>
        <w:tc>
          <w:tcPr>
            <w:tcW w:type="dxa" w:w="3888"/>
            <w:vAlign w:val="center"/>
            <w:tcBorders>
              <w:top w:val="single" w:sz="4" w:color="D9E5F2"/>
              <w:left w:val="single" w:sz="4" w:color="D9E5F2"/>
              <w:bottom w:val="single" w:sz="4" w:color="D9E5F2"/>
              <w:right w:val="single" w:sz="4" w:color="D9E5F2"/>
            </w:tcBorders>
          </w:tcPr>
          <w:p>
            <w:r/>
            <w:r>
              <w:rPr>
                <w:b w:val="0"/>
                <w:color w:val="17324D"/>
                <w:sz w:val="18"/>
              </w:rPr>
              <w:t>Evidence-backed skill profiles and verifiable credentials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Weak training-to-employment visibility</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NCCT cannot easily see downstream outcomes</w:t>
            </w:r>
          </w:p>
        </w:tc>
        <w:tc>
          <w:tcPr>
            <w:tcW w:type="dxa" w:w="3888"/>
            <w:shd w:fill="F3F7FB"/>
            <w:vAlign w:val="center"/>
            <w:tcBorders>
              <w:top w:val="single" w:sz="4" w:color="D9E5F2"/>
              <w:left w:val="single" w:sz="4" w:color="D9E5F2"/>
              <w:bottom w:val="single" w:sz="4" w:color="D9E5F2"/>
              <w:right w:val="single" w:sz="4" w:color="D9E5F2"/>
            </w:tcBorders>
          </w:tcPr>
          <w:p>
            <w:r/>
            <w:r>
              <w:rPr>
                <w:b w:val="0"/>
                <w:color w:val="17324D"/>
                <w:sz w:val="18"/>
              </w:rPr>
              <w:t>Employer workflow + outcome funnel + retention tracking</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AI risk when unconstrained</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Incorrect or opaque decisions</w:t>
            </w:r>
          </w:p>
        </w:tc>
        <w:tc>
          <w:tcPr>
            <w:tcW w:type="dxa" w:w="3888"/>
            <w:vAlign w:val="center"/>
            <w:tcBorders>
              <w:top w:val="single" w:sz="4" w:color="D9E5F2"/>
              <w:left w:val="single" w:sz="4" w:color="D9E5F2"/>
              <w:bottom w:val="single" w:sz="4" w:color="D9E5F2"/>
              <w:right w:val="single" w:sz="4" w:color="D9E5F2"/>
            </w:tcBorders>
          </w:tcPr>
          <w:p>
            <w:r/>
            <w:r>
              <w:rPr>
                <w:b w:val="0"/>
                <w:color w:val="17324D"/>
                <w:sz w:val="18"/>
              </w:rPr>
              <w:t>Bounded, explainable, human-in-the-loop AI</w:t>
            </w:r>
          </w:p>
        </w:tc>
      </w:tr>
    </w:tbl>
    <w:p>
      <w:pPr>
        <w:spacing w:after="20"/>
      </w:pPr>
    </w:p>
    <w:p>
      <w:pPr>
        <w:pStyle w:val="Heading1"/>
      </w:pPr>
      <w:r>
        <w:t>02. Business Context &amp; PS Alignment</w:t>
      </w:r>
    </w:p>
    <w:p>
      <w:r>
        <w:t>The official PS calls for a centralized, scalable, web-based ecosystem for NCCT training activities and explicitly lists registration/nomination, participant and institution profiles, multilingual e-learning, face recognition/QR attendance, timetable/hostel/logistics, LMS assessments and certification, skill verification, career chatbot, employer/recruiter dashboards, offline-accessible learning, centralized database and analytics. The design therefore treats these as scope anchors rather than optional ideas.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A5F"/>
            <w:vAlign w:val="center"/>
            <w:tcBorders>
              <w:top w:val="single" w:sz="4" w:color="D9E5F2"/>
              <w:left w:val="single" w:sz="4" w:color="D9E5F2"/>
              <w:bottom w:val="single" w:sz="4" w:color="D9E5F2"/>
              <w:right w:val="single" w:sz="4" w:color="D9E5F2"/>
            </w:tcBorders>
          </w:tcPr>
          <w:p>
            <w:r/>
            <w:r>
              <w:rPr>
                <w:b/>
                <w:color w:val="FFFFFF"/>
                <w:sz w:val="18"/>
              </w:rPr>
              <w:t>PS capability</w:t>
            </w:r>
          </w:p>
        </w:tc>
        <w:tc>
          <w:tcPr>
            <w:tcW w:type="dxa" w:w="3600"/>
            <w:shd w:fill="163A5F"/>
            <w:vAlign w:val="center"/>
            <w:tcBorders>
              <w:top w:val="single" w:sz="4" w:color="D9E5F2"/>
              <w:left w:val="single" w:sz="4" w:color="D9E5F2"/>
              <w:bottom w:val="single" w:sz="4" w:color="D9E5F2"/>
              <w:right w:val="single" w:sz="4" w:color="D9E5F2"/>
            </w:tcBorders>
          </w:tcPr>
          <w:p>
            <w:r/>
            <w:r>
              <w:rPr>
                <w:b/>
                <w:color w:val="FFFFFF"/>
                <w:sz w:val="18"/>
              </w:rPr>
              <w:t>Business requirement</w:t>
            </w:r>
          </w:p>
        </w:tc>
        <w:tc>
          <w:tcPr>
            <w:tcW w:type="dxa" w:w="3456"/>
            <w:shd w:fill="163A5F"/>
            <w:vAlign w:val="center"/>
            <w:tcBorders>
              <w:top w:val="single" w:sz="4" w:color="D9E5F2"/>
              <w:left w:val="single" w:sz="4" w:color="D9E5F2"/>
              <w:bottom w:val="single" w:sz="4" w:color="D9E5F2"/>
              <w:right w:val="single" w:sz="4" w:color="D9E5F2"/>
            </w:tcBorders>
          </w:tcPr>
          <w:p>
            <w:r/>
            <w:r>
              <w:rPr>
                <w:b/>
                <w:color w:val="FFFFFF"/>
                <w:sz w:val="18"/>
              </w:rPr>
              <w:t>Sahakar-Link response</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Registration + nomination</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Digitize the intake-to-batch pipeline</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Programme + nomination workflow</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Participant / institution profiles</w:t>
            </w:r>
          </w:p>
        </w:tc>
        <w:tc>
          <w:tcPr>
            <w:tcW w:type="dxa" w:w="3600"/>
            <w:vAlign w:val="center"/>
            <w:tcBorders>
              <w:top w:val="single" w:sz="4" w:color="D9E5F2"/>
              <w:left w:val="single" w:sz="4" w:color="D9E5F2"/>
              <w:bottom w:val="single" w:sz="4" w:color="D9E5F2"/>
              <w:right w:val="single" w:sz="4" w:color="D9E5F2"/>
            </w:tcBorders>
          </w:tcPr>
          <w:p>
            <w:r/>
            <w:r>
              <w:rPr>
                <w:b w:val="0"/>
                <w:color w:val="17324D"/>
                <w:sz w:val="18"/>
              </w:rPr>
              <w:t>Single source of operational identity</w:t>
            </w:r>
          </w:p>
        </w:tc>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Role-aware profile model</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Multilingual e-learning</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Accessible learning for diverse users</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Localized content + translation/voice adapters</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Face / QR attendance</w:t>
            </w:r>
          </w:p>
        </w:tc>
        <w:tc>
          <w:tcPr>
            <w:tcW w:type="dxa" w:w="3600"/>
            <w:vAlign w:val="center"/>
            <w:tcBorders>
              <w:top w:val="single" w:sz="4" w:color="D9E5F2"/>
              <w:left w:val="single" w:sz="4" w:color="D9E5F2"/>
              <w:bottom w:val="single" w:sz="4" w:color="D9E5F2"/>
              <w:right w:val="single" w:sz="4" w:color="D9E5F2"/>
            </w:tcBorders>
          </w:tcPr>
          <w:p>
            <w:r/>
            <w:r>
              <w:rPr>
                <w:b w:val="0"/>
                <w:color w:val="17324D"/>
                <w:sz w:val="18"/>
              </w:rPr>
              <w:t>Reliable participation evidence</w:t>
            </w:r>
          </w:p>
        </w:tc>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Face+liveness OR QR + exception review</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Timetable / hostel / logistics</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Reduce scheduling and allocation friction</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Resource-aware scheduling + room/bed management</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Assessments + certification</w:t>
            </w:r>
          </w:p>
        </w:tc>
        <w:tc>
          <w:tcPr>
            <w:tcW w:type="dxa" w:w="3600"/>
            <w:vAlign w:val="center"/>
            <w:tcBorders>
              <w:top w:val="single" w:sz="4" w:color="D9E5F2"/>
              <w:left w:val="single" w:sz="4" w:color="D9E5F2"/>
              <w:bottom w:val="single" w:sz="4" w:color="D9E5F2"/>
              <w:right w:val="single" w:sz="4" w:color="D9E5F2"/>
            </w:tcBorders>
          </w:tcPr>
          <w:p>
            <w:r/>
            <w:r>
              <w:rPr>
                <w:b w:val="0"/>
                <w:color w:val="17324D"/>
                <w:sz w:val="18"/>
              </w:rPr>
              <w:t>Connect learning to verified outcomes</w:t>
            </w:r>
          </w:p>
        </w:tc>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Assessment engine + signed credentials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Skill certification repository</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Make skills portable and verifiable</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Skill graph + verification endpoint</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Career chatbot</w:t>
            </w:r>
          </w:p>
        </w:tc>
        <w:tc>
          <w:tcPr>
            <w:tcW w:type="dxa" w:w="3600"/>
            <w:vAlign w:val="center"/>
            <w:tcBorders>
              <w:top w:val="single" w:sz="4" w:color="D9E5F2"/>
              <w:left w:val="single" w:sz="4" w:color="D9E5F2"/>
              <w:bottom w:val="single" w:sz="4" w:color="D9E5F2"/>
              <w:right w:val="single" w:sz="4" w:color="D9E5F2"/>
            </w:tcBorders>
          </w:tcPr>
          <w:p>
            <w:r/>
            <w:r>
              <w:rPr>
                <w:b w:val="0"/>
                <w:color w:val="17324D"/>
                <w:sz w:val="18"/>
              </w:rPr>
              <w:t>Provide guided career assistance</w:t>
            </w:r>
          </w:p>
        </w:tc>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Bounded RAG Career Copilot</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Employer/recruiter dashboard</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Create a structured demand-side workflow</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Verified employer + job + candidate discovery</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Offline-accessible learning</w:t>
            </w:r>
          </w:p>
        </w:tc>
        <w:tc>
          <w:tcPr>
            <w:tcW w:type="dxa" w:w="3600"/>
            <w:vAlign w:val="center"/>
            <w:tcBorders>
              <w:top w:val="single" w:sz="4" w:color="D9E5F2"/>
              <w:left w:val="single" w:sz="4" w:color="D9E5F2"/>
              <w:bottom w:val="single" w:sz="4" w:color="D9E5F2"/>
              <w:right w:val="single" w:sz="4" w:color="D9E5F2"/>
            </w:tcBorders>
          </w:tcPr>
          <w:p>
            <w:r/>
            <w:r>
              <w:rPr>
                <w:b w:val="0"/>
                <w:color w:val="17324D"/>
                <w:sz w:val="18"/>
              </w:rPr>
              <w:t>Preserve service during connectivity loss</w:t>
            </w:r>
          </w:p>
        </w:tc>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Local Fabric + cache + event queue</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Central database + analytics</w:t>
            </w:r>
          </w:p>
        </w:tc>
        <w:tc>
          <w:tcPr>
            <w:tcW w:type="dxa" w:w="3600"/>
            <w:shd w:fill="F3F7FB"/>
            <w:vAlign w:val="center"/>
            <w:tcBorders>
              <w:top w:val="single" w:sz="4" w:color="D9E5F2"/>
              <w:left w:val="single" w:sz="4" w:color="D9E5F2"/>
              <w:bottom w:val="single" w:sz="4" w:color="D9E5F2"/>
              <w:right w:val="single" w:sz="4" w:color="D9E5F2"/>
            </w:tcBorders>
          </w:tcPr>
          <w:p>
            <w:r/>
            <w:r>
              <w:rPr>
                <w:b w:val="0"/>
                <w:color w:val="17324D"/>
                <w:sz w:val="18"/>
              </w:rPr>
              <w:t>Enable monitoring and decision support</w:t>
            </w:r>
          </w:p>
        </w:tc>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Cloud system of record + outcome analytics</w:t>
            </w:r>
          </w:p>
        </w:tc>
      </w:tr>
    </w:tbl>
    <w:p>
      <w:pPr>
        <w:spacing w:after="20"/>
      </w:pPr>
    </w:p>
    <w:p>
      <w:pPr>
        <w:pStyle w:val="Heading1"/>
      </w:pPr>
      <w:r>
        <w:t>03. Business Objectives</w:t>
      </w:r>
    </w:p>
    <w:p>
      <w:pPr>
        <w:pStyle w:val="ListNumber"/>
        <w:spacing w:after="60"/>
      </w:pPr>
      <w:r>
        <w:t>Create one coherent trainee lifecycle from programme nomination through post-training employment outcome tracking.</w:t>
      </w:r>
    </w:p>
    <w:p>
      <w:pPr>
        <w:pStyle w:val="ListNumber"/>
        <w:spacing w:after="60"/>
      </w:pPr>
      <w:r>
        <w:t>Reduce duplicate administrative work by consolidating core training operations.</w:t>
      </w:r>
    </w:p>
    <w:p>
      <w:pPr>
        <w:pStyle w:val="ListNumber"/>
        <w:spacing w:after="60"/>
      </w:pPr>
      <w:r>
        <w:t>Ensure learning remains available during intermittent or absent internet connectivity.</w:t>
      </w:r>
    </w:p>
    <w:p>
      <w:pPr>
        <w:pStyle w:val="ListNumber"/>
        <w:spacing w:after="60"/>
      </w:pPr>
      <w:r>
        <w:t>Improve the reliability and auditability of attendance, assessments and certification.</w:t>
      </w:r>
    </w:p>
    <w:p>
      <w:pPr>
        <w:pStyle w:val="ListNumber"/>
        <w:spacing w:after="60"/>
      </w:pPr>
      <w:r>
        <w:t>Create employer-readable, evidence-backed skill profiles instead of certificate-only records.</w:t>
      </w:r>
    </w:p>
    <w:p>
      <w:pPr>
        <w:pStyle w:val="ListNumber"/>
        <w:spacing w:after="60"/>
      </w:pPr>
      <w:r>
        <w:t>Provide a structured employment workflow without inventing an unverified NCCT employer ecosystem.</w:t>
      </w:r>
    </w:p>
    <w:p>
      <w:pPr>
        <w:pStyle w:val="ListNumber"/>
        <w:spacing w:after="60"/>
      </w:pPr>
      <w:r>
        <w:t>Use AI selectively to improve guidance, matching explanations and operational insight while keeping high-impact decisions human-controlled.</w:t>
      </w:r>
    </w:p>
    <w:p>
      <w:pPr>
        <w:pStyle w:val="ListNumber"/>
        <w:spacing w:after="60"/>
      </w:pPr>
      <w:r>
        <w:t>Provide an integration-ready foundation that can later connect to verified NCCT or government systems.</w:t>
      </w:r>
    </w:p>
    <w:p>
      <w:pPr>
        <w:pStyle w:val="Heading1"/>
      </w:pPr>
      <w:r>
        <w:t>04. Stakeholder &amp; User Model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A5F"/>
            <w:vAlign w:val="center"/>
            <w:tcBorders>
              <w:top w:val="single" w:sz="4" w:color="D9E5F2"/>
              <w:left w:val="single" w:sz="4" w:color="D9E5F2"/>
              <w:bottom w:val="single" w:sz="4" w:color="D9E5F2"/>
              <w:right w:val="single" w:sz="4" w:color="D9E5F2"/>
            </w:tcBorders>
          </w:tcPr>
          <w:p>
            <w:r/>
            <w:r>
              <w:rPr>
                <w:b/>
                <w:color w:val="FFFFFF"/>
                <w:sz w:val="18"/>
              </w:rPr>
              <w:t>Stakeholder</w:t>
            </w:r>
          </w:p>
        </w:tc>
        <w:tc>
          <w:tcPr>
            <w:tcW w:type="dxa" w:w="4032"/>
            <w:shd w:fill="163A5F"/>
            <w:vAlign w:val="center"/>
            <w:tcBorders>
              <w:top w:val="single" w:sz="4" w:color="D9E5F2"/>
              <w:left w:val="single" w:sz="4" w:color="D9E5F2"/>
              <w:bottom w:val="single" w:sz="4" w:color="D9E5F2"/>
              <w:right w:val="single" w:sz="4" w:color="D9E5F2"/>
            </w:tcBorders>
          </w:tcPr>
          <w:p>
            <w:r/>
            <w:r>
              <w:rPr>
                <w:b/>
                <w:color w:val="FFFFFF"/>
                <w:sz w:val="18"/>
              </w:rPr>
              <w:t>Primary need</w:t>
            </w:r>
          </w:p>
        </w:tc>
        <w:tc>
          <w:tcPr>
            <w:tcW w:type="dxa" w:w="3024"/>
            <w:shd w:fill="163A5F"/>
            <w:vAlign w:val="center"/>
            <w:tcBorders>
              <w:top w:val="single" w:sz="4" w:color="D9E5F2"/>
              <w:left w:val="single" w:sz="4" w:color="D9E5F2"/>
              <w:bottom w:val="single" w:sz="4" w:color="D9E5F2"/>
              <w:right w:val="single" w:sz="4" w:color="D9E5F2"/>
            </w:tcBorders>
          </w:tcPr>
          <w:p>
            <w:r/>
            <w:r>
              <w:rPr>
                <w:b/>
                <w:color w:val="FFFFFF"/>
                <w:sz w:val="18"/>
              </w:rPr>
              <w:t>Business value</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NCCT / central administrators</w:t>
            </w:r>
          </w:p>
        </w:tc>
        <w:tc>
          <w:tcPr>
            <w:tcW w:type="dxa" w:w="4032"/>
            <w:shd w:fill="F3F7FB"/>
            <w:vAlign w:val="center"/>
            <w:tcBorders>
              <w:top w:val="single" w:sz="4" w:color="D9E5F2"/>
              <w:left w:val="single" w:sz="4" w:color="D9E5F2"/>
              <w:bottom w:val="single" w:sz="4" w:color="D9E5F2"/>
              <w:right w:val="single" w:sz="4" w:color="D9E5F2"/>
            </w:tcBorders>
          </w:tcPr>
          <w:p>
            <w:r/>
            <w:r>
              <w:rPr>
                <w:b w:val="0"/>
                <w:color w:val="17324D"/>
                <w:sz w:val="18"/>
              </w:rPr>
              <w:t>National or multi-institution visibility, programme governance, outcome analytics</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Centralized monitoring and policy insight</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Institution administrators</w:t>
            </w:r>
          </w:p>
        </w:tc>
        <w:tc>
          <w:tcPr>
            <w:tcW w:type="dxa" w:w="4032"/>
            <w:vAlign w:val="center"/>
            <w:tcBorders>
              <w:top w:val="single" w:sz="4" w:color="D9E5F2"/>
              <w:left w:val="single" w:sz="4" w:color="D9E5F2"/>
              <w:bottom w:val="single" w:sz="4" w:color="D9E5F2"/>
              <w:right w:val="single" w:sz="4" w:color="D9E5F2"/>
            </w:tcBorders>
          </w:tcPr>
          <w:p>
            <w:r/>
            <w:r>
              <w:rPr>
                <w:b w:val="0"/>
                <w:color w:val="17324D"/>
                <w:sz w:val="18"/>
              </w:rPr>
              <w:t>Run programmes, batches, logistics, attendance and trainee records</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Operational efficiency</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Trainers</w:t>
            </w:r>
          </w:p>
        </w:tc>
        <w:tc>
          <w:tcPr>
            <w:tcW w:type="dxa" w:w="4032"/>
            <w:shd w:fill="F3F7FB"/>
            <w:vAlign w:val="center"/>
            <w:tcBorders>
              <w:top w:val="single" w:sz="4" w:color="D9E5F2"/>
              <w:left w:val="single" w:sz="4" w:color="D9E5F2"/>
              <w:bottom w:val="single" w:sz="4" w:color="D9E5F2"/>
              <w:right w:val="single" w:sz="4" w:color="D9E5F2"/>
            </w:tcBorders>
          </w:tcPr>
          <w:p>
            <w:r/>
            <w:r>
              <w:rPr>
                <w:b w:val="0"/>
                <w:color w:val="17324D"/>
                <w:sz w:val="18"/>
              </w:rPr>
              <w:t>Deliver courses, record attendance and assessments, identify learner issues</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Lower administrative burden; earlier intervention</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Trainees</w:t>
            </w:r>
          </w:p>
        </w:tc>
        <w:tc>
          <w:tcPr>
            <w:tcW w:type="dxa" w:w="4032"/>
            <w:vAlign w:val="center"/>
            <w:tcBorders>
              <w:top w:val="single" w:sz="4" w:color="D9E5F2"/>
              <w:left w:val="single" w:sz="4" w:color="D9E5F2"/>
              <w:bottom w:val="single" w:sz="4" w:color="D9E5F2"/>
              <w:right w:val="single" w:sz="4" w:color="D9E5F2"/>
            </w:tcBorders>
          </w:tcPr>
          <w:p>
            <w:r/>
            <w:r>
              <w:rPr>
                <w:b w:val="0"/>
                <w:color w:val="17324D"/>
                <w:sz w:val="18"/>
              </w:rPr>
              <w:t>Register, learn, assess, receive credentials and discover opportunities</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Continuous learning + portable evidence + employment access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Employers / recruiters</w:t>
            </w:r>
          </w:p>
        </w:tc>
        <w:tc>
          <w:tcPr>
            <w:tcW w:type="dxa" w:w="4032"/>
            <w:shd w:fill="F3F7FB"/>
            <w:vAlign w:val="center"/>
            <w:tcBorders>
              <w:top w:val="single" w:sz="4" w:color="D9E5F2"/>
              <w:left w:val="single" w:sz="4" w:color="D9E5F2"/>
              <w:bottom w:val="single" w:sz="4" w:color="D9E5F2"/>
              <w:right w:val="single" w:sz="4" w:color="D9E5F2"/>
            </w:tcBorders>
          </w:tcPr>
          <w:p>
            <w:r/>
            <w:r>
              <w:rPr>
                <w:b w:val="0"/>
                <w:color w:val="17324D"/>
                <w:sz w:val="18"/>
              </w:rPr>
              <w:t>Find candidates with interpretable, verified skills</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Lower information-search cost</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Auditors / reviewers</w:t>
            </w:r>
          </w:p>
        </w:tc>
        <w:tc>
          <w:tcPr>
            <w:tcW w:type="dxa" w:w="4032"/>
            <w:vAlign w:val="center"/>
            <w:tcBorders>
              <w:top w:val="single" w:sz="4" w:color="D9E5F2"/>
              <w:left w:val="single" w:sz="4" w:color="D9E5F2"/>
              <w:bottom w:val="single" w:sz="4" w:color="D9E5F2"/>
              <w:right w:val="single" w:sz="4" w:color="D9E5F2"/>
            </w:tcBorders>
          </w:tcPr>
          <w:p>
            <w:r/>
            <w:r>
              <w:rPr>
                <w:b w:val="0"/>
                <w:color w:val="17324D"/>
                <w:sz w:val="18"/>
              </w:rPr>
              <w:t>Trace important changes and approvals</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Accountability and governance</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Future government/system integrators</w:t>
            </w:r>
          </w:p>
        </w:tc>
        <w:tc>
          <w:tcPr>
            <w:tcW w:type="dxa" w:w="4032"/>
            <w:shd w:fill="F3F7FB"/>
            <w:vAlign w:val="center"/>
            <w:tcBorders>
              <w:top w:val="single" w:sz="4" w:color="D9E5F2"/>
              <w:left w:val="single" w:sz="4" w:color="D9E5F2"/>
              <w:bottom w:val="single" w:sz="4" w:color="D9E5F2"/>
              <w:right w:val="single" w:sz="4" w:color="D9E5F2"/>
            </w:tcBorders>
          </w:tcPr>
          <w:p>
            <w:r/>
            <w:r>
              <w:rPr>
                <w:b w:val="0"/>
                <w:color w:val="17324D"/>
                <w:sz w:val="18"/>
              </w:rPr>
              <w:t>Connect existing rails and master systems</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Avoid duplication and enable interoperability</w:t>
            </w:r>
          </w:p>
        </w:tc>
      </w:tr>
    </w:tbl>
    <w:p>
      <w:pPr>
        <w:spacing w:after="20"/>
      </w:pPr>
    </w:p>
    <w:p>
      <w:pPr>
        <w:pStyle w:val="Heading1"/>
      </w:pPr>
      <w:r>
        <w:t>05. Business Process Model</w:t>
      </w:r>
    </w:p>
    <w:p>
      <w:r>
        <w:t>The canonical business lifecycle is:</w:t>
      </w:r>
    </w:p>
    <w:tbl>
      <w:tblPr>
        <w:tblW w:type="auto" w:w="0"/>
        <w:jc w:val="center"/>
        <w:tblLayout w:type="fixed"/>
        <w:tblLook w:firstColumn="1" w:firstRow="1" w:lastColumn="0" w:lastRow="0" w:noHBand="0" w:noVBand="1" w:val="04A0"/>
      </w:tblPr>
      <w:tblGrid>
        <w:gridCol w:w="259"/>
        <w:gridCol w:w="9936"/>
      </w:tblGrid>
      <w:tr>
        <w:trPr>
          <w:cantSplit/>
        </w:trPr>
        <w:tc>
          <w:tcPr>
            <w:tcW w:type="dxa" w:w="5112"/>
            <w:shd w:fill="2563EB"/>
          </w:tcPr>
          <w:p/>
        </w:tc>
        <w:tc>
          <w:tcPr>
            <w:tcW w:type="dxa" w:w="5112"/>
            <w:shd w:fill="EFF6FF"/>
          </w:tcPr>
          <w:p>
            <w:r>
              <w:rPr>
                <w:b/>
                <w:color w:val="2563EB"/>
                <w:sz w:val="19"/>
              </w:rPr>
              <w:t>END-TO-END LIFECYCLE</w:t>
            </w:r>
            <w:r>
              <w:rPr>
                <w:color w:val="17324D"/>
                <w:sz w:val="19"/>
              </w:rPr>
              <w:br/>
              <w:t>Programme creation → Nomination → Eligibility/selection → Batch formation → Training → Attendance → Assessment → Certification → Skill evidence → Employer discovery → Application → Selection → Joining → Verified employment outcome → Retention/feedback.</w:t>
            </w:r>
          </w:p>
        </w:tc>
      </w:tr>
    </w:tbl>
    <w:p>
      <w:pPr>
        <w:spacing w:after="20"/>
      </w:pPr>
    </w:p>
    <w:p>
      <w:pPr>
        <w:pStyle w:val="Heading2"/>
      </w:pPr>
      <w:r>
        <w:t>5.1 Programme &amp; Nomination</w:t>
      </w:r>
    </w:p>
    <w:p>
      <w:pPr>
        <w:pStyle w:val="ListBullet"/>
        <w:spacing w:after="60"/>
      </w:pPr>
      <w:r>
        <w:t>Create programmes with intake window, capacity, eligibility and delivery plan.</w:t>
      </w:r>
    </w:p>
    <w:p>
      <w:pPr>
        <w:pStyle w:val="ListBullet"/>
        <w:spacing w:after="60"/>
      </w:pPr>
      <w:r>
        <w:t>Accept nominations and maintain nomination status.</w:t>
      </w:r>
    </w:p>
    <w:p>
      <w:pPr>
        <w:pStyle w:val="ListBullet"/>
        <w:spacing w:after="60"/>
      </w:pPr>
      <w:r>
        <w:t>Validate profiles/documents using configurable business rules.</w:t>
      </w:r>
    </w:p>
    <w:p>
      <w:pPr>
        <w:pStyle w:val="ListBullet"/>
        <w:spacing w:after="60"/>
      </w:pPr>
      <w:r>
        <w:t>Form batches and assign training resources.</w:t>
      </w:r>
    </w:p>
    <w:p>
      <w:pPr>
        <w:pStyle w:val="Heading2"/>
      </w:pPr>
      <w:r>
        <w:t>5.2 Training Operations</w:t>
      </w:r>
    </w:p>
    <w:p>
      <w:pPr>
        <w:pStyle w:val="ListBullet"/>
        <w:spacing w:after="60"/>
      </w:pPr>
      <w:r>
        <w:t>Schedule trainers, classrooms and activities.</w:t>
      </w:r>
    </w:p>
    <w:p>
      <w:pPr>
        <w:pStyle w:val="ListBullet"/>
        <w:spacing w:after="60"/>
      </w:pPr>
      <w:r>
        <w:t>Manage hostel rooms/beds where applicable.</w:t>
      </w:r>
    </w:p>
    <w:p>
      <w:pPr>
        <w:pStyle w:val="ListBullet"/>
        <w:spacing w:after="60"/>
      </w:pPr>
      <w:r>
        <w:t>Record attendance through face/QR and exception review.</w:t>
      </w:r>
    </w:p>
    <w:p>
      <w:pPr>
        <w:pStyle w:val="ListBullet"/>
        <w:spacing w:after="60"/>
      </w:pPr>
      <w:r>
        <w:t>Deliver learning and assessments online or through the local software fabric.</w:t>
      </w:r>
    </w:p>
    <w:p>
      <w:pPr>
        <w:pStyle w:val="Heading2"/>
      </w:pPr>
      <w:r>
        <w:t>5.3 Certification &amp; Skills</w:t>
      </w:r>
    </w:p>
    <w:p>
      <w:pPr>
        <w:pStyle w:val="ListBullet"/>
        <w:spacing w:after="60"/>
      </w:pPr>
      <w:r>
        <w:t>Generate certificate after configured completion/assessment criteria are satisfied.</w:t>
      </w:r>
    </w:p>
    <w:p>
      <w:pPr>
        <w:pStyle w:val="ListBullet"/>
        <w:spacing w:after="60"/>
      </w:pPr>
      <w:r>
        <w:t>Store signed credential metadata and verification status.</w:t>
      </w:r>
    </w:p>
    <w:p>
      <w:pPr>
        <w:pStyle w:val="ListBullet"/>
        <w:spacing w:after="60"/>
      </w:pPr>
      <w:r>
        <w:t>Map course and assessment evidence to structured skills.</w:t>
      </w:r>
    </w:p>
    <w:p>
      <w:pPr>
        <w:pStyle w:val="Heading2"/>
      </w:pPr>
      <w:r>
        <w:t>5.4 Employment &amp; Outcomes</w:t>
      </w:r>
    </w:p>
    <w:p>
      <w:pPr>
        <w:pStyle w:val="ListBullet"/>
        <w:spacing w:after="60"/>
      </w:pPr>
      <w:r>
        <w:t>Onboard and verify employers through an administrative workflow.</w:t>
      </w:r>
    </w:p>
    <w:p>
      <w:pPr>
        <w:pStyle w:val="ListBullet"/>
        <w:spacing w:after="60"/>
      </w:pPr>
      <w:r>
        <w:t>Publish structured jobs and required skills.</w:t>
      </w:r>
    </w:p>
    <w:p>
      <w:pPr>
        <w:pStyle w:val="ListBullet"/>
        <w:spacing w:after="60"/>
      </w:pPr>
      <w:r>
        <w:t>Show explainable candidate-job matches.</w:t>
      </w:r>
    </w:p>
    <w:p>
      <w:pPr>
        <w:pStyle w:val="ListBullet"/>
        <w:spacing w:after="60"/>
      </w:pPr>
      <w:r>
        <w:t>Track application, shortlist, selection, joining and employer verification states.</w:t>
      </w:r>
    </w:p>
    <w:p>
      <w:pPr>
        <w:pStyle w:val="ListBullet"/>
        <w:spacing w:after="60"/>
      </w:pPr>
      <w:r>
        <w:t>Measure retention where a verified milestone is available.</w:t>
      </w:r>
    </w:p>
    <w:p>
      <w:pPr>
        <w:pStyle w:val="Heading1"/>
      </w:pPr>
      <w:r>
        <w:t>06. Business Rules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63A5F"/>
            <w:vAlign w:val="center"/>
            <w:tcBorders>
              <w:top w:val="single" w:sz="4" w:color="D9E5F2"/>
              <w:left w:val="single" w:sz="4" w:color="D9E5F2"/>
              <w:bottom w:val="single" w:sz="4" w:color="D9E5F2"/>
              <w:right w:val="single" w:sz="4" w:color="D9E5F2"/>
            </w:tcBorders>
          </w:tcPr>
          <w:p>
            <w:r/>
            <w:r>
              <w:rPr>
                <w:b/>
                <w:color w:val="FFFFFF"/>
                <w:sz w:val="18"/>
              </w:rPr>
              <w:t>Rule</w:t>
            </w:r>
          </w:p>
        </w:tc>
        <w:tc>
          <w:tcPr>
            <w:tcW w:type="dxa" w:w="6480"/>
            <w:shd w:fill="163A5F"/>
            <w:vAlign w:val="center"/>
            <w:tcBorders>
              <w:top w:val="single" w:sz="4" w:color="D9E5F2"/>
              <w:left w:val="single" w:sz="4" w:color="D9E5F2"/>
              <w:bottom w:val="single" w:sz="4" w:color="D9E5F2"/>
              <w:right w:val="single" w:sz="4" w:color="D9E5F2"/>
            </w:tcBorders>
          </w:tcPr>
          <w:p>
            <w:r/>
            <w:r>
              <w:rPr>
                <w:b/>
                <w:color w:val="FFFFFF"/>
                <w:sz w:val="18"/>
              </w:rPr>
              <w:t>Business interpretation</w:t>
            </w:r>
          </w:p>
        </w:tc>
      </w:tr>
      <w:tr>
        <w:trPr>
          <w:cantSplit/>
        </w:trPr>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Evidence before high-trust status</w:t>
            </w:r>
          </w:p>
        </w:tc>
        <w:tc>
          <w:tcPr>
            <w:tcW w:type="dxa" w:w="6480"/>
            <w:shd w:fill="F3F7FB"/>
            <w:vAlign w:val="center"/>
            <w:tcBorders>
              <w:top w:val="single" w:sz="4" w:color="D9E5F2"/>
              <w:left w:val="single" w:sz="4" w:color="D9E5F2"/>
              <w:bottom w:val="single" w:sz="4" w:color="D9E5F2"/>
              <w:right w:val="single" w:sz="4" w:color="D9E5F2"/>
            </w:tcBorders>
          </w:tcPr>
          <w:p>
            <w:r/>
            <w:r>
              <w:rPr>
                <w:b w:val="0"/>
                <w:color w:val="17324D"/>
                <w:sz w:val="18"/>
              </w:rPr>
              <w:t>Certification and employment verification must point to supporting records/events.</w:t>
            </w:r>
          </w:p>
        </w:tc>
      </w:tr>
      <w:tr>
        <w:trPr>
          <w:cantSplit/>
        </w:trPr>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Offline does not mean unconstrained</w:t>
            </w:r>
          </w:p>
        </w:tc>
        <w:tc>
          <w:tcPr>
            <w:tcW w:type="dxa" w:w="6480"/>
            <w:vAlign w:val="center"/>
            <w:tcBorders>
              <w:top w:val="single" w:sz="4" w:color="D9E5F2"/>
              <w:left w:val="single" w:sz="4" w:color="D9E5F2"/>
              <w:bottom w:val="single" w:sz="4" w:color="D9E5F2"/>
              <w:right w:val="single" w:sz="4" w:color="D9E5F2"/>
            </w:tcBorders>
          </w:tcPr>
          <w:p>
            <w:r/>
            <w:r>
              <w:rPr>
                <w:b w:val="0"/>
                <w:color w:val="17324D"/>
                <w:sz w:val="18"/>
              </w:rPr>
              <w:t>Critical local actions are allowed offline, but cloud reconciliation and governance remain authoritative for shared records.</w:t>
            </w:r>
          </w:p>
        </w:tc>
      </w:tr>
      <w:tr>
        <w:trPr>
          <w:cantSplit/>
        </w:trPr>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No silent critical overwrite</w:t>
            </w:r>
          </w:p>
        </w:tc>
        <w:tc>
          <w:tcPr>
            <w:tcW w:type="dxa" w:w="6480"/>
            <w:shd w:fill="F3F7FB"/>
            <w:vAlign w:val="center"/>
            <w:tcBorders>
              <w:top w:val="single" w:sz="4" w:color="D9E5F2"/>
              <w:left w:val="single" w:sz="4" w:color="D9E5F2"/>
              <w:bottom w:val="single" w:sz="4" w:color="D9E5F2"/>
              <w:right w:val="single" w:sz="4" w:color="D9E5F2"/>
            </w:tcBorders>
          </w:tcPr>
          <w:p>
            <w:r/>
            <w:r>
              <w:rPr>
                <w:b w:val="0"/>
                <w:color w:val="17324D"/>
                <w:sz w:val="18"/>
              </w:rPr>
              <w:t>Conflicts in attendance, grades, certificates or identity fields go to review; low-risk preferences may use simpler last-write rules.</w:t>
            </w:r>
          </w:p>
        </w:tc>
      </w:tr>
      <w:tr>
        <w:trPr>
          <w:cantSplit/>
        </w:trPr>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AI assists; humans govern</w:t>
            </w:r>
          </w:p>
        </w:tc>
        <w:tc>
          <w:tcPr>
            <w:tcW w:type="dxa" w:w="6480"/>
            <w:vAlign w:val="center"/>
            <w:tcBorders>
              <w:top w:val="single" w:sz="4" w:color="D9E5F2"/>
              <w:left w:val="single" w:sz="4" w:color="D9E5F2"/>
              <w:bottom w:val="single" w:sz="4" w:color="D9E5F2"/>
              <w:right w:val="single" w:sz="4" w:color="D9E5F2"/>
            </w:tcBorders>
          </w:tcPr>
          <w:p>
            <w:r/>
            <w:r>
              <w:rPr>
                <w:b w:val="0"/>
                <w:color w:val="17324D"/>
                <w:sz w:val="18"/>
              </w:rPr>
              <w:t>AI may recommend/explain but not autonomously decide high-impact hiring, grading or certification outcomes.</w:t>
            </w:r>
          </w:p>
        </w:tc>
      </w:tr>
      <w:tr>
        <w:trPr>
          <w:cantSplit/>
        </w:trPr>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Minimum necessary biometric data</w:t>
            </w:r>
          </w:p>
        </w:tc>
        <w:tc>
          <w:tcPr>
            <w:tcW w:type="dxa" w:w="6480"/>
            <w:shd w:fill="F3F7FB"/>
            <w:vAlign w:val="center"/>
            <w:tcBorders>
              <w:top w:val="single" w:sz="4" w:color="D9E5F2"/>
              <w:left w:val="single" w:sz="4" w:color="D9E5F2"/>
              <w:bottom w:val="single" w:sz="4" w:color="D9E5F2"/>
              <w:right w:val="single" w:sz="4" w:color="D9E5F2"/>
            </w:tcBorders>
          </w:tcPr>
          <w:p>
            <w:r/>
            <w:r>
              <w:rPr>
                <w:b w:val="0"/>
                <w:color w:val="17324D"/>
                <w:sz w:val="18"/>
              </w:rPr>
              <w:t>Store and retain only what the attendance workflow needs; no Aadhaar assumption.</w:t>
            </w:r>
          </w:p>
        </w:tc>
      </w:tr>
      <w:tr>
        <w:trPr>
          <w:cantSplit/>
        </w:trPr>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Integration before duplication</w:t>
            </w:r>
          </w:p>
        </w:tc>
        <w:tc>
          <w:tcPr>
            <w:tcW w:type="dxa" w:w="6480"/>
            <w:vAlign w:val="center"/>
            <w:tcBorders>
              <w:top w:val="single" w:sz="4" w:color="D9E5F2"/>
              <w:left w:val="single" w:sz="4" w:color="D9E5F2"/>
              <w:bottom w:val="single" w:sz="4" w:color="D9E5F2"/>
              <w:right w:val="single" w:sz="4" w:color="D9E5F2"/>
            </w:tcBorders>
          </w:tcPr>
          <w:p>
            <w:r/>
            <w:r>
              <w:rPr>
                <w:b w:val="0"/>
                <w:color w:val="17324D"/>
                <w:sz w:val="18"/>
              </w:rPr>
              <w:t>Prefer verified external rails where available rather than recreating a national service.</w:t>
            </w:r>
          </w:p>
        </w:tc>
      </w:tr>
      <w:tr>
        <w:trPr>
          <w:cantSplit/>
        </w:trPr>
        <w:tc>
          <w:tcPr>
            <w:tcW w:type="dxa" w:w="3456"/>
            <w:shd w:fill="F3F7FB"/>
            <w:vAlign w:val="center"/>
            <w:tcBorders>
              <w:top w:val="single" w:sz="4" w:color="D9E5F2"/>
              <w:left w:val="single" w:sz="4" w:color="D9E5F2"/>
              <w:bottom w:val="single" w:sz="4" w:color="D9E5F2"/>
              <w:right w:val="single" w:sz="4" w:color="D9E5F2"/>
            </w:tcBorders>
          </w:tcPr>
          <w:p>
            <w:r/>
            <w:r>
              <w:rPr>
                <w:b w:val="0"/>
                <w:color w:val="17324D"/>
                <w:sz w:val="18"/>
              </w:rPr>
              <w:t>Hardware agnostic</w:t>
            </w:r>
          </w:p>
        </w:tc>
        <w:tc>
          <w:tcPr>
            <w:tcW w:type="dxa" w:w="6480"/>
            <w:shd w:fill="F3F7FB"/>
            <w:vAlign w:val="center"/>
            <w:tcBorders>
              <w:top w:val="single" w:sz="4" w:color="D9E5F2"/>
              <w:left w:val="single" w:sz="4" w:color="D9E5F2"/>
              <w:bottom w:val="single" w:sz="4" w:color="D9E5F2"/>
              <w:right w:val="single" w:sz="4" w:color="D9E5F2"/>
            </w:tcBorders>
          </w:tcPr>
          <w:p>
            <w:r/>
            <w:r>
              <w:rPr>
                <w:b w:val="0"/>
                <w:color w:val="17324D"/>
                <w:sz w:val="18"/>
              </w:rPr>
              <w:t>The Local Fabric can run on suitable existing center devices; the product does not depend on one proprietary appliance.</w:t>
            </w:r>
          </w:p>
        </w:tc>
      </w:tr>
      <w:tr>
        <w:trPr>
          <w:cantSplit/>
        </w:trPr>
        <w:tc>
          <w:tcPr>
            <w:tcW w:type="dxa" w:w="3456"/>
            <w:vAlign w:val="center"/>
            <w:tcBorders>
              <w:top w:val="single" w:sz="4" w:color="D9E5F2"/>
              <w:left w:val="single" w:sz="4" w:color="D9E5F2"/>
              <w:bottom w:val="single" w:sz="4" w:color="D9E5F2"/>
              <w:right w:val="single" w:sz="4" w:color="D9E5F2"/>
            </w:tcBorders>
          </w:tcPr>
          <w:p>
            <w:r/>
            <w:r>
              <w:rPr>
                <w:b w:val="0"/>
                <w:color w:val="17324D"/>
                <w:sz w:val="18"/>
              </w:rPr>
              <w:t>Every important mutation is auditable</w:t>
            </w:r>
          </w:p>
        </w:tc>
        <w:tc>
          <w:tcPr>
            <w:tcW w:type="dxa" w:w="6480"/>
            <w:vAlign w:val="center"/>
            <w:tcBorders>
              <w:top w:val="single" w:sz="4" w:color="D9E5F2"/>
              <w:left w:val="single" w:sz="4" w:color="D9E5F2"/>
              <w:bottom w:val="single" w:sz="4" w:color="D9E5F2"/>
              <w:right w:val="single" w:sz="4" w:color="D9E5F2"/>
            </w:tcBorders>
          </w:tcPr>
          <w:p>
            <w:r/>
            <w:r>
              <w:rPr>
                <w:b w:val="0"/>
                <w:color w:val="17324D"/>
                <w:sz w:val="18"/>
              </w:rPr>
              <w:t>Issuance, revocation, corrections, approvals and employment verification generate audit records.</w:t>
            </w:r>
          </w:p>
        </w:tc>
      </w:tr>
    </w:tbl>
    <w:p>
      <w:pPr>
        <w:spacing w:after="20"/>
      </w:pPr>
    </w:p>
    <w:p>
      <w:pPr>
        <w:pStyle w:val="Heading1"/>
      </w:pPr>
      <w:r>
        <w:t>07. Business Requirements by Capability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864"/>
            <w:shd w:fill="163A5F"/>
            <w:vAlign w:val="center"/>
            <w:tcBorders>
              <w:top w:val="single" w:sz="4" w:color="D9E5F2"/>
              <w:left w:val="single" w:sz="4" w:color="D9E5F2"/>
              <w:bottom w:val="single" w:sz="4" w:color="D9E5F2"/>
              <w:right w:val="single" w:sz="4" w:color="D9E5F2"/>
            </w:tcBorders>
          </w:tcPr>
          <w:p>
            <w:r/>
            <w:r>
              <w:rPr>
                <w:b/>
                <w:color w:val="FFFFFF"/>
                <w:sz w:val="18"/>
              </w:rPr>
              <w:t>ID</w:t>
            </w:r>
          </w:p>
        </w:tc>
        <w:tc>
          <w:tcPr>
            <w:tcW w:type="dxa" w:w="1872"/>
            <w:shd w:fill="163A5F"/>
            <w:vAlign w:val="center"/>
            <w:tcBorders>
              <w:top w:val="single" w:sz="4" w:color="D9E5F2"/>
              <w:left w:val="single" w:sz="4" w:color="D9E5F2"/>
              <w:bottom w:val="single" w:sz="4" w:color="D9E5F2"/>
              <w:right w:val="single" w:sz="4" w:color="D9E5F2"/>
            </w:tcBorders>
          </w:tcPr>
          <w:p>
            <w:r/>
            <w:r>
              <w:rPr>
                <w:b/>
                <w:color w:val="FFFFFF"/>
                <w:sz w:val="18"/>
              </w:rPr>
              <w:t>Area</w:t>
            </w:r>
          </w:p>
        </w:tc>
        <w:tc>
          <w:tcPr>
            <w:tcW w:type="dxa" w:w="6048"/>
            <w:shd w:fill="163A5F"/>
            <w:vAlign w:val="center"/>
            <w:tcBorders>
              <w:top w:val="single" w:sz="4" w:color="D9E5F2"/>
              <w:left w:val="single" w:sz="4" w:color="D9E5F2"/>
              <w:bottom w:val="single" w:sz="4" w:color="D9E5F2"/>
              <w:right w:val="single" w:sz="4" w:color="D9E5F2"/>
            </w:tcBorders>
          </w:tcPr>
          <w:p>
            <w:r/>
            <w:r>
              <w:rPr>
                <w:b/>
                <w:color w:val="FFFFFF"/>
                <w:sz w:val="18"/>
              </w:rPr>
              <w:t>Requirement</w:t>
            </w:r>
          </w:p>
        </w:tc>
        <w:tc>
          <w:tcPr>
            <w:tcW w:type="dxa" w:w="1152"/>
            <w:shd w:fill="163A5F"/>
            <w:vAlign w:val="center"/>
            <w:tcBorders>
              <w:top w:val="single" w:sz="4" w:color="D9E5F2"/>
              <w:left w:val="single" w:sz="4" w:color="D9E5F2"/>
              <w:bottom w:val="single" w:sz="4" w:color="D9E5F2"/>
              <w:right w:val="single" w:sz="4" w:color="D9E5F2"/>
            </w:tcBorders>
          </w:tcPr>
          <w:p>
            <w:r/>
            <w:r>
              <w:rPr>
                <w:b/>
                <w:color w:val="FFFFFF"/>
                <w:sz w:val="18"/>
              </w:rPr>
              <w:t>Priority</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BR-01</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Programme management</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Create, publish and close programmes with capacity, eligibility, dates and ownership.</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BR-02</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Nomination</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Accept, review and approve participant nominations.</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BR-03</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Profile management</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Maintain participant, institution and role profiles.</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BR-04</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Learning</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Deliver multilingual content and assessments, including offline access.</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BR-05</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Attendance</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Support face/liveness or QR plus manual exception handling.</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BR-06</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Resource management</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Manage timetable, trainers, rooms, hostel capacity and logistics.</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BR-07</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Certification</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Issue, verify and revoke digitally signed credentials.</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BR-08</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Skill evidence</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Represent skills with linked course/assessment evidence.</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BR-09</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Career assistance</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Provide bounded, retrieval-grounded career guidance.</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BR-10</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Employer workflow</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Register/verify employers and publish structured jobs.</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BR-11</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Recruiter discovery</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Filter/search candidates by relevant verified skills and constraints.</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BR-12</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Outcome tracking</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Track application-to-employment milestones and retention evidence.</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BR-13</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Analytics</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Provide centre/programme/training/employment dashboards.</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BR-14</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Offline operations</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Queue supported transactions and synchronize them safely.</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Must</w:t>
            </w:r>
          </w:p>
        </w:tc>
      </w:tr>
      <w:tr>
        <w:trPr>
          <w:cantSplit/>
        </w:trPr>
        <w:tc>
          <w:tcPr>
            <w:tcW w:type="dxa" w:w="864"/>
            <w:shd w:fill="F3F7FB"/>
            <w:vAlign w:val="center"/>
            <w:tcBorders>
              <w:top w:val="single" w:sz="4" w:color="D9E5F2"/>
              <w:left w:val="single" w:sz="4" w:color="D9E5F2"/>
              <w:bottom w:val="single" w:sz="4" w:color="D9E5F2"/>
              <w:right w:val="single" w:sz="4" w:color="D9E5F2"/>
            </w:tcBorders>
          </w:tcPr>
          <w:p>
            <w:r/>
            <w:r>
              <w:rPr>
                <w:b w:val="0"/>
                <w:color w:val="17324D"/>
                <w:sz w:val="18"/>
              </w:rPr>
              <w:t>BR-15</w:t>
            </w:r>
          </w:p>
        </w:tc>
        <w:tc>
          <w:tcPr>
            <w:tcW w:type="dxa" w:w="1872"/>
            <w:shd w:fill="F3F7FB"/>
            <w:vAlign w:val="center"/>
            <w:tcBorders>
              <w:top w:val="single" w:sz="4" w:color="D9E5F2"/>
              <w:left w:val="single" w:sz="4" w:color="D9E5F2"/>
              <w:bottom w:val="single" w:sz="4" w:color="D9E5F2"/>
              <w:right w:val="single" w:sz="4" w:color="D9E5F2"/>
            </w:tcBorders>
          </w:tcPr>
          <w:p>
            <w:r/>
            <w:r>
              <w:rPr>
                <w:b w:val="0"/>
                <w:color w:val="17324D"/>
                <w:sz w:val="18"/>
              </w:rPr>
              <w:t>Integration</w:t>
            </w:r>
          </w:p>
        </w:tc>
        <w:tc>
          <w:tcPr>
            <w:tcW w:type="dxa" w:w="6048"/>
            <w:shd w:fill="F3F7FB"/>
            <w:vAlign w:val="center"/>
            <w:tcBorders>
              <w:top w:val="single" w:sz="4" w:color="D9E5F2"/>
              <w:left w:val="single" w:sz="4" w:color="D9E5F2"/>
              <w:bottom w:val="single" w:sz="4" w:color="D9E5F2"/>
              <w:right w:val="single" w:sz="4" w:color="D9E5F2"/>
            </w:tcBorders>
          </w:tcPr>
          <w:p>
            <w:r/>
            <w:r>
              <w:rPr>
                <w:b w:val="0"/>
                <w:color w:val="17324D"/>
                <w:sz w:val="18"/>
              </w:rPr>
              <w:t>Expose stable APIs/adapters for future external systems.</w:t>
            </w:r>
          </w:p>
        </w:tc>
        <w:tc>
          <w:tcPr>
            <w:tcW w:type="dxa" w:w="1152"/>
            <w:shd w:fill="F3F7FB"/>
            <w:vAlign w:val="center"/>
            <w:tcBorders>
              <w:top w:val="single" w:sz="4" w:color="D9E5F2"/>
              <w:left w:val="single" w:sz="4" w:color="D9E5F2"/>
              <w:bottom w:val="single" w:sz="4" w:color="D9E5F2"/>
              <w:right w:val="single" w:sz="4" w:color="D9E5F2"/>
            </w:tcBorders>
          </w:tcPr>
          <w:p>
            <w:r/>
            <w:r>
              <w:rPr>
                <w:b w:val="0"/>
                <w:color w:val="17324D"/>
                <w:sz w:val="18"/>
              </w:rPr>
              <w:t>Should</w:t>
            </w:r>
          </w:p>
        </w:tc>
      </w:tr>
      <w:tr>
        <w:trPr>
          <w:cantSplit/>
        </w:trPr>
        <w:tc>
          <w:tcPr>
            <w:tcW w:type="dxa" w:w="864"/>
            <w:vAlign w:val="center"/>
            <w:tcBorders>
              <w:top w:val="single" w:sz="4" w:color="D9E5F2"/>
              <w:left w:val="single" w:sz="4" w:color="D9E5F2"/>
              <w:bottom w:val="single" w:sz="4" w:color="D9E5F2"/>
              <w:right w:val="single" w:sz="4" w:color="D9E5F2"/>
            </w:tcBorders>
          </w:tcPr>
          <w:p>
            <w:r/>
            <w:r>
              <w:rPr>
                <w:b w:val="0"/>
                <w:color w:val="17324D"/>
                <w:sz w:val="18"/>
              </w:rPr>
              <w:t>BR-16</w:t>
            </w:r>
          </w:p>
        </w:tc>
        <w:tc>
          <w:tcPr>
            <w:tcW w:type="dxa" w:w="1872"/>
            <w:vAlign w:val="center"/>
            <w:tcBorders>
              <w:top w:val="single" w:sz="4" w:color="D9E5F2"/>
              <w:left w:val="single" w:sz="4" w:color="D9E5F2"/>
              <w:bottom w:val="single" w:sz="4" w:color="D9E5F2"/>
              <w:right w:val="single" w:sz="4" w:color="D9E5F2"/>
            </w:tcBorders>
          </w:tcPr>
          <w:p>
            <w:r/>
            <w:r>
              <w:rPr>
                <w:b w:val="0"/>
                <w:color w:val="17324D"/>
                <w:sz w:val="18"/>
              </w:rPr>
              <w:t>Voice/multilingual AI</w:t>
            </w:r>
          </w:p>
        </w:tc>
        <w:tc>
          <w:tcPr>
            <w:tcW w:type="dxa" w:w="6048"/>
            <w:vAlign w:val="center"/>
            <w:tcBorders>
              <w:top w:val="single" w:sz="4" w:color="D9E5F2"/>
              <w:left w:val="single" w:sz="4" w:color="D9E5F2"/>
              <w:bottom w:val="single" w:sz="4" w:color="D9E5F2"/>
              <w:right w:val="single" w:sz="4" w:color="D9E5F2"/>
            </w:tcBorders>
          </w:tcPr>
          <w:p>
            <w:r/>
            <w:r>
              <w:rPr>
                <w:b w:val="0"/>
                <w:color w:val="17324D"/>
                <w:sz w:val="18"/>
              </w:rPr>
              <w:t>Provide optional voice and language assistance through adapters.</w:t>
            </w:r>
          </w:p>
        </w:tc>
        <w:tc>
          <w:tcPr>
            <w:tcW w:type="dxa" w:w="1152"/>
            <w:vAlign w:val="center"/>
            <w:tcBorders>
              <w:top w:val="single" w:sz="4" w:color="D9E5F2"/>
              <w:left w:val="single" w:sz="4" w:color="D9E5F2"/>
              <w:bottom w:val="single" w:sz="4" w:color="D9E5F2"/>
              <w:right w:val="single" w:sz="4" w:color="D9E5F2"/>
            </w:tcBorders>
          </w:tcPr>
          <w:p>
            <w:r/>
            <w:r>
              <w:rPr>
                <w:b w:val="0"/>
                <w:color w:val="17324D"/>
                <w:sz w:val="18"/>
              </w:rPr>
              <w:t>Should</w:t>
            </w:r>
          </w:p>
        </w:tc>
      </w:tr>
    </w:tbl>
    <w:p>
      <w:pPr>
        <w:spacing w:after="20"/>
      </w:pPr>
    </w:p>
    <w:p>
      <w:pPr>
        <w:pStyle w:val="Heading1"/>
      </w:pPr>
      <w:r>
        <w:t>08. KPIs &amp; Business Outcomes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A5F"/>
            <w:vAlign w:val="center"/>
            <w:tcBorders>
              <w:top w:val="single" w:sz="4" w:color="D9E5F2"/>
              <w:left w:val="single" w:sz="4" w:color="D9E5F2"/>
              <w:bottom w:val="single" w:sz="4" w:color="D9E5F2"/>
              <w:right w:val="single" w:sz="4" w:color="D9E5F2"/>
            </w:tcBorders>
          </w:tcPr>
          <w:p>
            <w:r/>
            <w:r>
              <w:rPr>
                <w:b/>
                <w:color w:val="FFFFFF"/>
                <w:sz w:val="18"/>
              </w:rPr>
              <w:t>KPI</w:t>
            </w:r>
          </w:p>
        </w:tc>
        <w:tc>
          <w:tcPr>
            <w:tcW w:type="dxa" w:w="4176"/>
            <w:shd w:fill="163A5F"/>
            <w:vAlign w:val="center"/>
            <w:tcBorders>
              <w:top w:val="single" w:sz="4" w:color="D9E5F2"/>
              <w:left w:val="single" w:sz="4" w:color="D9E5F2"/>
              <w:bottom w:val="single" w:sz="4" w:color="D9E5F2"/>
              <w:right w:val="single" w:sz="4" w:color="D9E5F2"/>
            </w:tcBorders>
          </w:tcPr>
          <w:p>
            <w:r/>
            <w:r>
              <w:rPr>
                <w:b/>
                <w:color w:val="FFFFFF"/>
                <w:sz w:val="18"/>
              </w:rPr>
              <w:t>Definition</w:t>
            </w:r>
          </w:p>
        </w:tc>
        <w:tc>
          <w:tcPr>
            <w:tcW w:type="dxa" w:w="3168"/>
            <w:shd w:fill="163A5F"/>
            <w:vAlign w:val="center"/>
            <w:tcBorders>
              <w:top w:val="single" w:sz="4" w:color="D9E5F2"/>
              <w:left w:val="single" w:sz="4" w:color="D9E5F2"/>
              <w:bottom w:val="single" w:sz="4" w:color="D9E5F2"/>
              <w:right w:val="single" w:sz="4" w:color="D9E5F2"/>
            </w:tcBorders>
          </w:tcPr>
          <w:p>
            <w:r/>
            <w:r>
              <w:rPr>
                <w:b/>
                <w:color w:val="FFFFFF"/>
                <w:sz w:val="18"/>
              </w:rPr>
              <w:t>Why it matters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Nomination cycle time</w:t>
            </w:r>
          </w:p>
        </w:tc>
        <w:tc>
          <w:tcPr>
            <w:tcW w:type="dxa" w:w="4176"/>
            <w:shd w:fill="F3F7FB"/>
            <w:vAlign w:val="center"/>
            <w:tcBorders>
              <w:top w:val="single" w:sz="4" w:color="D9E5F2"/>
              <w:left w:val="single" w:sz="4" w:color="D9E5F2"/>
              <w:bottom w:val="single" w:sz="4" w:color="D9E5F2"/>
              <w:right w:val="single" w:sz="4" w:color="D9E5F2"/>
            </w:tcBorders>
          </w:tcPr>
          <w:p>
            <w:r/>
            <w:r>
              <w:rPr>
                <w:b w:val="0"/>
                <w:color w:val="17324D"/>
                <w:sz w:val="18"/>
              </w:rPr>
              <w:t>Average time from nomination submission to confirmed batch status</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Measures intake efficiency</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Training continuity</w:t>
            </w:r>
          </w:p>
        </w:tc>
        <w:tc>
          <w:tcPr>
            <w:tcW w:type="dxa" w:w="4176"/>
            <w:vAlign w:val="center"/>
            <w:tcBorders>
              <w:top w:val="single" w:sz="4" w:color="D9E5F2"/>
              <w:left w:val="single" w:sz="4" w:color="D9E5F2"/>
              <w:bottom w:val="single" w:sz="4" w:color="D9E5F2"/>
              <w:right w:val="single" w:sz="4" w:color="D9E5F2"/>
            </w:tcBorders>
          </w:tcPr>
          <w:p>
            <w:r/>
            <w:r>
              <w:rPr>
                <w:b w:val="0"/>
                <w:color w:val="17324D"/>
                <w:sz w:val="18"/>
              </w:rPr>
              <w:t>% of learning sessions that can continue during a simulated outage</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Tests offline value</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Attendance resolution rate</w:t>
            </w:r>
          </w:p>
        </w:tc>
        <w:tc>
          <w:tcPr>
            <w:tcW w:type="dxa" w:w="4176"/>
            <w:shd w:fill="F3F7FB"/>
            <w:vAlign w:val="center"/>
            <w:tcBorders>
              <w:top w:val="single" w:sz="4" w:color="D9E5F2"/>
              <w:left w:val="single" w:sz="4" w:color="D9E5F2"/>
              <w:bottom w:val="single" w:sz="4" w:color="D9E5F2"/>
              <w:right w:val="single" w:sz="4" w:color="D9E5F2"/>
            </w:tcBorders>
          </w:tcPr>
          <w:p>
            <w:r/>
            <w:r>
              <w:rPr>
                <w:b w:val="0"/>
                <w:color w:val="17324D"/>
                <w:sz w:val="18"/>
              </w:rPr>
              <w:t>% of failed biometric/QR attempts resolved through fallback workflow</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Tests operational resilience</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Assessment completion</w:t>
            </w:r>
          </w:p>
        </w:tc>
        <w:tc>
          <w:tcPr>
            <w:tcW w:type="dxa" w:w="4176"/>
            <w:vAlign w:val="center"/>
            <w:tcBorders>
              <w:top w:val="single" w:sz="4" w:color="D9E5F2"/>
              <w:left w:val="single" w:sz="4" w:color="D9E5F2"/>
              <w:bottom w:val="single" w:sz="4" w:color="D9E5F2"/>
              <w:right w:val="single" w:sz="4" w:color="D9E5F2"/>
            </w:tcBorders>
          </w:tcPr>
          <w:p>
            <w:r/>
            <w:r>
              <w:rPr>
                <w:b w:val="0"/>
                <w:color w:val="17324D"/>
                <w:sz w:val="18"/>
              </w:rPr>
              <w:t>% of enrolled trainees reaching required assessment milestone</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Measures learning progression</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Credential verification rate</w:t>
            </w:r>
          </w:p>
        </w:tc>
        <w:tc>
          <w:tcPr>
            <w:tcW w:type="dxa" w:w="4176"/>
            <w:shd w:fill="F3F7FB"/>
            <w:vAlign w:val="center"/>
            <w:tcBorders>
              <w:top w:val="single" w:sz="4" w:color="D9E5F2"/>
              <w:left w:val="single" w:sz="4" w:color="D9E5F2"/>
              <w:bottom w:val="single" w:sz="4" w:color="D9E5F2"/>
              <w:right w:val="single" w:sz="4" w:color="D9E5F2"/>
            </w:tcBorders>
          </w:tcPr>
          <w:p>
            <w:r/>
            <w:r>
              <w:rPr>
                <w:b w:val="0"/>
                <w:color w:val="17324D"/>
                <w:sz w:val="18"/>
              </w:rPr>
              <w:t>% of issued credentials that can be verified successfully</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Measures trust layer</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Employer response rate</w:t>
            </w:r>
          </w:p>
        </w:tc>
        <w:tc>
          <w:tcPr>
            <w:tcW w:type="dxa" w:w="4176"/>
            <w:vAlign w:val="center"/>
            <w:tcBorders>
              <w:top w:val="single" w:sz="4" w:color="D9E5F2"/>
              <w:left w:val="single" w:sz="4" w:color="D9E5F2"/>
              <w:bottom w:val="single" w:sz="4" w:color="D9E5F2"/>
              <w:right w:val="single" w:sz="4" w:color="D9E5F2"/>
            </w:tcBorders>
          </w:tcPr>
          <w:p>
            <w:r/>
            <w:r>
              <w:rPr>
                <w:b w:val="0"/>
                <w:color w:val="17324D"/>
                <w:sz w:val="18"/>
              </w:rPr>
              <w:t>Employer actions per active job posting</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Measures demand-side engagement</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Training-to-employment conversion</w:t>
            </w:r>
          </w:p>
        </w:tc>
        <w:tc>
          <w:tcPr>
            <w:tcW w:type="dxa" w:w="4176"/>
            <w:shd w:fill="F3F7FB"/>
            <w:vAlign w:val="center"/>
            <w:tcBorders>
              <w:top w:val="single" w:sz="4" w:color="D9E5F2"/>
              <w:left w:val="single" w:sz="4" w:color="D9E5F2"/>
              <w:bottom w:val="single" w:sz="4" w:color="D9E5F2"/>
              <w:right w:val="single" w:sz="4" w:color="D9E5F2"/>
            </w:tcBorders>
          </w:tcPr>
          <w:p>
            <w:r/>
            <w:r>
              <w:rPr>
                <w:b w:val="0"/>
                <w:color w:val="17324D"/>
                <w:sz w:val="18"/>
              </w:rPr>
              <w:t>Certified trainees reaching a defined employment milestone</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Connects training to outcome</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Sync success rate</w:t>
            </w:r>
          </w:p>
        </w:tc>
        <w:tc>
          <w:tcPr>
            <w:tcW w:type="dxa" w:w="4176"/>
            <w:vAlign w:val="center"/>
            <w:tcBorders>
              <w:top w:val="single" w:sz="4" w:color="D9E5F2"/>
              <w:left w:val="single" w:sz="4" w:color="D9E5F2"/>
              <w:bottom w:val="single" w:sz="4" w:color="D9E5F2"/>
              <w:right w:val="single" w:sz="4" w:color="D9E5F2"/>
            </w:tcBorders>
          </w:tcPr>
          <w:p>
            <w:r/>
            <w:r>
              <w:rPr>
                <w:b w:val="0"/>
                <w:color w:val="17324D"/>
                <w:sz w:val="18"/>
              </w:rPr>
              <w:t>Successful event acknowledgements / sync attempts</w:t>
            </w:r>
          </w:p>
        </w:tc>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Measures offline reliability</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Exception resolution time</w:t>
            </w:r>
          </w:p>
        </w:tc>
        <w:tc>
          <w:tcPr>
            <w:tcW w:type="dxa" w:w="4176"/>
            <w:shd w:fill="F3F7FB"/>
            <w:vAlign w:val="center"/>
            <w:tcBorders>
              <w:top w:val="single" w:sz="4" w:color="D9E5F2"/>
              <w:left w:val="single" w:sz="4" w:color="D9E5F2"/>
              <w:bottom w:val="single" w:sz="4" w:color="D9E5F2"/>
              <w:right w:val="single" w:sz="4" w:color="D9E5F2"/>
            </w:tcBorders>
          </w:tcPr>
          <w:p>
            <w:r/>
            <w:r>
              <w:rPr>
                <w:b w:val="0"/>
                <w:color w:val="17324D"/>
                <w:sz w:val="18"/>
              </w:rPr>
              <w:t>Time to close flagged attendance/data conflicts</w:t>
            </w:r>
          </w:p>
        </w:tc>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Measures governance responsiveness</w:t>
            </w:r>
          </w:p>
        </w:tc>
      </w:tr>
    </w:tbl>
    <w:p>
      <w:pPr>
        <w:spacing w:after="20"/>
      </w:pPr>
    </w:p>
    <w:p>
      <w:pPr>
        <w:pStyle w:val="Heading1"/>
      </w:pPr>
      <w:r>
        <w:t>09. Scope Boundaries</w:t>
      </w:r>
    </w:p>
    <w:p>
      <w:pPr>
        <w:pStyle w:val="Heading2"/>
      </w:pPr>
      <w:r>
        <w:t>In scope</w:t>
      </w:r>
    </w:p>
    <w:p>
      <w:pPr>
        <w:pStyle w:val="ListBullet"/>
        <w:spacing w:after="60"/>
      </w:pPr>
      <w:r>
        <w:t>Core training ERP; nominations; profiles; LMS; offline learning; attendance; scheduling; hostel/logistics; assessment; credentials; skill evidence; employer/recruiter workflow; analytics; bounded AI; audit; sync.</w:t>
      </w:r>
    </w:p>
    <w:p>
      <w:pPr>
        <w:pStyle w:val="Heading2"/>
      </w:pPr>
      <w:r>
        <w:t>Out of scope unless explicitly verified/commissioned</w:t>
      </w:r>
    </w:p>
    <w:p>
      <w:pPr>
        <w:pStyle w:val="ListBullet"/>
        <w:spacing w:after="60"/>
      </w:pPr>
      <w:r>
        <w:t>Replacing national identity systems; Aadhaar storage/integration; national credential rails as a duplicate service; unverified NCCT legacy-system replacement; bespoke certified biometric hardware; autonomous hiring decisions; nationwide employer procurement contracts.</w:t>
      </w:r>
    </w:p>
    <w:p>
      <w:pPr>
        <w:pStyle w:val="Heading1"/>
      </w:pPr>
      <w:r>
        <w:t>10. Adoption &amp; Change Management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63A5F"/>
            <w:vAlign w:val="center"/>
            <w:tcBorders>
              <w:top w:val="single" w:sz="4" w:color="D9E5F2"/>
              <w:left w:val="single" w:sz="4" w:color="D9E5F2"/>
              <w:bottom w:val="single" w:sz="4" w:color="D9E5F2"/>
              <w:right w:val="single" w:sz="4" w:color="D9E5F2"/>
            </w:tcBorders>
          </w:tcPr>
          <w:p>
            <w:r/>
            <w:r>
              <w:rPr>
                <w:b/>
                <w:color w:val="FFFFFF"/>
                <w:sz w:val="18"/>
              </w:rPr>
              <w:t>Adoption principle</w:t>
            </w:r>
          </w:p>
        </w:tc>
        <w:tc>
          <w:tcPr>
            <w:tcW w:type="dxa" w:w="6768"/>
            <w:shd w:fill="163A5F"/>
            <w:vAlign w:val="center"/>
            <w:tcBorders>
              <w:top w:val="single" w:sz="4" w:color="D9E5F2"/>
              <w:left w:val="single" w:sz="4" w:color="D9E5F2"/>
              <w:bottom w:val="single" w:sz="4" w:color="D9E5F2"/>
              <w:right w:val="single" w:sz="4" w:color="D9E5F2"/>
            </w:tcBorders>
          </w:tcPr>
          <w:p>
            <w:r/>
            <w:r>
              <w:rPr>
                <w:b/>
                <w:color w:val="FFFFFF"/>
                <w:sz w:val="18"/>
              </w:rPr>
              <w:t>Business action</w:t>
            </w:r>
          </w:p>
        </w:tc>
      </w:tr>
      <w:tr>
        <w:trPr>
          <w:cantSplit/>
        </w:trPr>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Pilot by workflow, not by feature count</w:t>
            </w:r>
          </w:p>
        </w:tc>
        <w:tc>
          <w:tcPr>
            <w:tcW w:type="dxa" w:w="6768"/>
            <w:shd w:fill="F3F7FB"/>
            <w:vAlign w:val="center"/>
            <w:tcBorders>
              <w:top w:val="single" w:sz="4" w:color="D9E5F2"/>
              <w:left w:val="single" w:sz="4" w:color="D9E5F2"/>
              <w:bottom w:val="single" w:sz="4" w:color="D9E5F2"/>
              <w:right w:val="single" w:sz="4" w:color="D9E5F2"/>
            </w:tcBorders>
          </w:tcPr>
          <w:p>
            <w:r/>
            <w:r>
              <w:rPr>
                <w:b w:val="0"/>
                <w:color w:val="17324D"/>
                <w:sz w:val="18"/>
              </w:rPr>
              <w:t>Start with one end-to-end programme lifecycle and one connectivity-loss scenario.</w:t>
            </w:r>
          </w:p>
        </w:tc>
      </w:tr>
      <w:tr>
        <w:trPr>
          <w:cantSplit/>
        </w:trPr>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Minimize training burden</w:t>
            </w:r>
          </w:p>
        </w:tc>
        <w:tc>
          <w:tcPr>
            <w:tcW w:type="dxa" w:w="6768"/>
            <w:vAlign w:val="center"/>
            <w:tcBorders>
              <w:top w:val="single" w:sz="4" w:color="D9E5F2"/>
              <w:left w:val="single" w:sz="4" w:color="D9E5F2"/>
              <w:bottom w:val="single" w:sz="4" w:color="D9E5F2"/>
              <w:right w:val="single" w:sz="4" w:color="D9E5F2"/>
            </w:tcBorders>
          </w:tcPr>
          <w:p>
            <w:r/>
            <w:r>
              <w:rPr>
                <w:b w:val="0"/>
                <w:color w:val="17324D"/>
                <w:sz w:val="18"/>
              </w:rPr>
              <w:t>Role-specific navigation, localized language, guided tasks and defaults.</w:t>
            </w:r>
          </w:p>
        </w:tc>
      </w:tr>
      <w:tr>
        <w:trPr>
          <w:cantSplit/>
        </w:trPr>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Graceful fallback</w:t>
            </w:r>
          </w:p>
        </w:tc>
        <w:tc>
          <w:tcPr>
            <w:tcW w:type="dxa" w:w="6768"/>
            <w:shd w:fill="F3F7FB"/>
            <w:vAlign w:val="center"/>
            <w:tcBorders>
              <w:top w:val="single" w:sz="4" w:color="D9E5F2"/>
              <w:left w:val="single" w:sz="4" w:color="D9E5F2"/>
              <w:bottom w:val="single" w:sz="4" w:color="D9E5F2"/>
              <w:right w:val="single" w:sz="4" w:color="D9E5F2"/>
            </w:tcBorders>
          </w:tcPr>
          <w:p>
            <w:r/>
            <w:r>
              <w:rPr>
                <w:b w:val="0"/>
                <w:color w:val="17324D"/>
                <w:sz w:val="18"/>
              </w:rPr>
              <w:t>Every critical automated action needs a manual recovery path.</w:t>
            </w:r>
          </w:p>
        </w:tc>
      </w:tr>
      <w:tr>
        <w:trPr>
          <w:cantSplit/>
        </w:trPr>
        <w:tc>
          <w:tcPr>
            <w:tcW w:type="dxa" w:w="3168"/>
            <w:vAlign w:val="center"/>
            <w:tcBorders>
              <w:top w:val="single" w:sz="4" w:color="D9E5F2"/>
              <w:left w:val="single" w:sz="4" w:color="D9E5F2"/>
              <w:bottom w:val="single" w:sz="4" w:color="D9E5F2"/>
              <w:right w:val="single" w:sz="4" w:color="D9E5F2"/>
            </w:tcBorders>
          </w:tcPr>
          <w:p>
            <w:r/>
            <w:r>
              <w:rPr>
                <w:b w:val="0"/>
                <w:color w:val="17324D"/>
                <w:sz w:val="18"/>
              </w:rPr>
              <w:t>Operational transparency</w:t>
            </w:r>
          </w:p>
        </w:tc>
        <w:tc>
          <w:tcPr>
            <w:tcW w:type="dxa" w:w="6768"/>
            <w:vAlign w:val="center"/>
            <w:tcBorders>
              <w:top w:val="single" w:sz="4" w:color="D9E5F2"/>
              <w:left w:val="single" w:sz="4" w:color="D9E5F2"/>
              <w:bottom w:val="single" w:sz="4" w:color="D9E5F2"/>
              <w:right w:val="single" w:sz="4" w:color="D9E5F2"/>
            </w:tcBorders>
          </w:tcPr>
          <w:p>
            <w:r/>
            <w:r>
              <w:rPr>
                <w:b w:val="0"/>
                <w:color w:val="17324D"/>
                <w:sz w:val="18"/>
              </w:rPr>
              <w:t>Show sync status, exceptions and verification states instead of hiding system uncertainty.</w:t>
            </w:r>
          </w:p>
        </w:tc>
      </w:tr>
      <w:tr>
        <w:trPr>
          <w:cantSplit/>
        </w:trPr>
        <w:tc>
          <w:tcPr>
            <w:tcW w:type="dxa" w:w="3168"/>
            <w:shd w:fill="F3F7FB"/>
            <w:vAlign w:val="center"/>
            <w:tcBorders>
              <w:top w:val="single" w:sz="4" w:color="D9E5F2"/>
              <w:left w:val="single" w:sz="4" w:color="D9E5F2"/>
              <w:bottom w:val="single" w:sz="4" w:color="D9E5F2"/>
              <w:right w:val="single" w:sz="4" w:color="D9E5F2"/>
            </w:tcBorders>
          </w:tcPr>
          <w:p>
            <w:r/>
            <w:r>
              <w:rPr>
                <w:b w:val="0"/>
                <w:color w:val="17324D"/>
                <w:sz w:val="18"/>
              </w:rPr>
              <w:t>Integration readiness</w:t>
            </w:r>
          </w:p>
        </w:tc>
        <w:tc>
          <w:tcPr>
            <w:tcW w:type="dxa" w:w="6768"/>
            <w:shd w:fill="F3F7FB"/>
            <w:vAlign w:val="center"/>
            <w:tcBorders>
              <w:top w:val="single" w:sz="4" w:color="D9E5F2"/>
              <w:left w:val="single" w:sz="4" w:color="D9E5F2"/>
              <w:bottom w:val="single" w:sz="4" w:color="D9E5F2"/>
              <w:right w:val="single" w:sz="4" w:color="D9E5F2"/>
            </w:tcBorders>
          </w:tcPr>
          <w:p>
            <w:r/>
            <w:r>
              <w:rPr>
                <w:b w:val="0"/>
                <w:color w:val="17324D"/>
                <w:sz w:val="18"/>
              </w:rPr>
              <w:t>Keep external connectors isolated so future system changes do not rewrite the core product.</w:t>
            </w:r>
          </w:p>
        </w:tc>
      </w:tr>
    </w:tbl>
    <w:p>
      <w:pPr>
        <w:spacing w:after="20"/>
      </w:pPr>
    </w:p>
    <w:p>
      <w:pPr>
        <w:pStyle w:val="Heading1"/>
      </w:pPr>
      <w:r>
        <w:t>11. Business Risks &amp;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63A5F"/>
            <w:vAlign w:val="center"/>
            <w:tcBorders>
              <w:top w:val="single" w:sz="4" w:color="D9E5F2"/>
              <w:left w:val="single" w:sz="4" w:color="D9E5F2"/>
              <w:bottom w:val="single" w:sz="4" w:color="D9E5F2"/>
              <w:right w:val="single" w:sz="4" w:color="D9E5F2"/>
            </w:tcBorders>
          </w:tcPr>
          <w:p>
            <w:r/>
            <w:r>
              <w:rPr>
                <w:b/>
                <w:color w:val="FFFFFF"/>
                <w:sz w:val="18"/>
              </w:rPr>
              <w:t>Risk</w:t>
            </w:r>
          </w:p>
        </w:tc>
        <w:tc>
          <w:tcPr>
            <w:tcW w:type="dxa" w:w="3024"/>
            <w:shd w:fill="163A5F"/>
            <w:vAlign w:val="center"/>
            <w:tcBorders>
              <w:top w:val="single" w:sz="4" w:color="D9E5F2"/>
              <w:left w:val="single" w:sz="4" w:color="D9E5F2"/>
              <w:bottom w:val="single" w:sz="4" w:color="D9E5F2"/>
              <w:right w:val="single" w:sz="4" w:color="D9E5F2"/>
            </w:tcBorders>
          </w:tcPr>
          <w:p>
            <w:r/>
            <w:r>
              <w:rPr>
                <w:b/>
                <w:color w:val="FFFFFF"/>
                <w:sz w:val="18"/>
              </w:rPr>
              <w:t>Impact</w:t>
            </w:r>
          </w:p>
        </w:tc>
        <w:tc>
          <w:tcPr>
            <w:tcW w:type="dxa" w:w="4320"/>
            <w:shd w:fill="163A5F"/>
            <w:vAlign w:val="center"/>
            <w:tcBorders>
              <w:top w:val="single" w:sz="4" w:color="D9E5F2"/>
              <w:left w:val="single" w:sz="4" w:color="D9E5F2"/>
              <w:bottom w:val="single" w:sz="4" w:color="D9E5F2"/>
              <w:right w:val="single" w:sz="4" w:color="D9E5F2"/>
            </w:tcBorders>
          </w:tcPr>
          <w:p>
            <w:r/>
            <w:r>
              <w:rPr>
                <w:b/>
                <w:color w:val="FFFFFF"/>
                <w:sz w:val="18"/>
              </w:rPr>
              <w:t>Mitigation</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Unverified NCCT legacy workflows</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Incorrect product assumptions</w:t>
            </w:r>
          </w:p>
        </w:tc>
        <w:tc>
          <w:tcPr>
            <w:tcW w:type="dxa" w:w="4320"/>
            <w:shd w:fill="F3F7FB"/>
            <w:vAlign w:val="center"/>
            <w:tcBorders>
              <w:top w:val="single" w:sz="4" w:color="D9E5F2"/>
              <w:left w:val="single" w:sz="4" w:color="D9E5F2"/>
              <w:bottom w:val="single" w:sz="4" w:color="D9E5F2"/>
              <w:right w:val="single" w:sz="4" w:color="D9E5F2"/>
            </w:tcBorders>
          </w:tcPr>
          <w:p>
            <w:r/>
            <w:r>
              <w:rPr>
                <w:b w:val="0"/>
                <w:color w:val="17324D"/>
                <w:sz w:val="18"/>
              </w:rPr>
              <w:t>Keep configurable workflows and validate before production integration.</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Biometric privacy / error</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Trust and adoption risk</w:t>
            </w:r>
          </w:p>
        </w:tc>
        <w:tc>
          <w:tcPr>
            <w:tcW w:type="dxa" w:w="4320"/>
            <w:vAlign w:val="center"/>
            <w:tcBorders>
              <w:top w:val="single" w:sz="4" w:color="D9E5F2"/>
              <w:left w:val="single" w:sz="4" w:color="D9E5F2"/>
              <w:bottom w:val="single" w:sz="4" w:color="D9E5F2"/>
              <w:right w:val="single" w:sz="4" w:color="D9E5F2"/>
            </w:tcBorders>
          </w:tcPr>
          <w:p>
            <w:r/>
            <w:r>
              <w:rPr>
                <w:b w:val="0"/>
                <w:color w:val="17324D"/>
                <w:sz w:val="18"/>
              </w:rPr>
              <w:t>Face optional; QR/manual fallback; local processing where feasible; minimization and retention controls.</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Weak employer participation</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Employment module underused</w:t>
            </w:r>
          </w:p>
        </w:tc>
        <w:tc>
          <w:tcPr>
            <w:tcW w:type="dxa" w:w="4320"/>
            <w:shd w:fill="F3F7FB"/>
            <w:vAlign w:val="center"/>
            <w:tcBorders>
              <w:top w:val="single" w:sz="4" w:color="D9E5F2"/>
              <w:left w:val="single" w:sz="4" w:color="D9E5F2"/>
              <w:bottom w:val="single" w:sz="4" w:color="D9E5F2"/>
              <w:right w:val="single" w:sz="4" w:color="D9E5F2"/>
            </w:tcBorders>
          </w:tcPr>
          <w:p>
            <w:r/>
            <w:r>
              <w:rPr>
                <w:b w:val="0"/>
                <w:color w:val="17324D"/>
                <w:sz w:val="18"/>
              </w:rPr>
              <w:t>Simple onboarding, verified jobs, explainable candidate evidence and outcome tracking.</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Offline sync conflict</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Data inconsistency</w:t>
            </w:r>
          </w:p>
        </w:tc>
        <w:tc>
          <w:tcPr>
            <w:tcW w:type="dxa" w:w="4320"/>
            <w:vAlign w:val="center"/>
            <w:tcBorders>
              <w:top w:val="single" w:sz="4" w:color="D9E5F2"/>
              <w:left w:val="single" w:sz="4" w:color="D9E5F2"/>
              <w:bottom w:val="single" w:sz="4" w:color="D9E5F2"/>
              <w:right w:val="single" w:sz="4" w:color="D9E5F2"/>
            </w:tcBorders>
          </w:tcPr>
          <w:p>
            <w:r/>
            <w:r>
              <w:rPr>
                <w:b w:val="0"/>
                <w:color w:val="17324D"/>
                <w:sz w:val="18"/>
              </w:rPr>
              <w:t>Append-only events, idempotency, versioning and human conflict review.</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AI hallucination</w:t>
            </w:r>
          </w:p>
        </w:tc>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Incorrect guidance</w:t>
            </w:r>
          </w:p>
        </w:tc>
        <w:tc>
          <w:tcPr>
            <w:tcW w:type="dxa" w:w="4320"/>
            <w:shd w:fill="F3F7FB"/>
            <w:vAlign w:val="center"/>
            <w:tcBorders>
              <w:top w:val="single" w:sz="4" w:color="D9E5F2"/>
              <w:left w:val="single" w:sz="4" w:color="D9E5F2"/>
              <w:bottom w:val="single" w:sz="4" w:color="D9E5F2"/>
              <w:right w:val="single" w:sz="4" w:color="D9E5F2"/>
            </w:tcBorders>
          </w:tcPr>
          <w:p>
            <w:r/>
            <w:r>
              <w:rPr>
                <w:b w:val="0"/>
                <w:color w:val="17324D"/>
                <w:sz w:val="18"/>
              </w:rPr>
              <w:t>Approved knowledge base, retrieval grounding, confidence/fallback, human escalation.</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Scope explosion</w:t>
            </w:r>
          </w:p>
        </w:tc>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Poor hackathon completion</w:t>
            </w:r>
          </w:p>
        </w:tc>
        <w:tc>
          <w:tcPr>
            <w:tcW w:type="dxa" w:w="4320"/>
            <w:vAlign w:val="center"/>
            <w:tcBorders>
              <w:top w:val="single" w:sz="4" w:color="D9E5F2"/>
              <w:left w:val="single" w:sz="4" w:color="D9E5F2"/>
              <w:bottom w:val="single" w:sz="4" w:color="D9E5F2"/>
              <w:right w:val="single" w:sz="4" w:color="D9E5F2"/>
            </w:tcBorders>
          </w:tcPr>
          <w:p>
            <w:r/>
            <w:r>
              <w:rPr>
                <w:b w:val="0"/>
                <w:color w:val="17324D"/>
                <w:sz w:val="18"/>
              </w:rPr>
              <w:t>MVP gates and explicit phase separation.</w:t>
            </w:r>
          </w:p>
        </w:tc>
      </w:tr>
    </w:tbl>
    <w:p>
      <w:pPr>
        <w:spacing w:after="20"/>
      </w:pPr>
    </w:p>
    <w:p>
      <w:pPr>
        <w:pStyle w:val="Heading1"/>
      </w:pPr>
      <w:r>
        <w:t>12. Decision Gates</w:t>
      </w:r>
    </w:p>
    <w:p>
      <w:pPr>
        <w:spacing w:after="60"/>
        <w:ind w:left="360" w:hanging="259"/>
      </w:pPr>
      <w:r>
        <w:t>1. Gate A — PS coverage: every official capability has an identified module and test.</w:t>
      </w:r>
    </w:p>
    <w:p>
      <w:pPr>
        <w:spacing w:after="60"/>
        <w:ind w:left="360" w:hanging="259"/>
      </w:pPr>
      <w:r>
        <w:t>2. Gate B — Offline proof: learning continues with network disabled and queued events synchronize after reconnection.</w:t>
      </w:r>
    </w:p>
    <w:p>
      <w:pPr>
        <w:spacing w:after="60"/>
        <w:ind w:left="360" w:hanging="259"/>
      </w:pPr>
      <w:r>
        <w:t>3. Gate C — Trust proof: attendance fallback, credential verification and audit trails work end-to-end.</w:t>
      </w:r>
    </w:p>
    <w:p>
      <w:pPr>
        <w:spacing w:after="60"/>
        <w:ind w:left="360" w:hanging="259"/>
      </w:pPr>
      <w:r>
        <w:t>4. Gate D — Employment proof: one employer, one job, one evidence-backed candidate match and application flow works.</w:t>
      </w:r>
    </w:p>
    <w:p>
      <w:pPr>
        <w:spacing w:after="60"/>
        <w:ind w:left="360" w:hanging="259"/>
      </w:pPr>
      <w:r>
        <w:t>5. Gate E — Demo proof: the full lifecycle can be demonstrated as one coherent narrative within 5–7 minutes.</w:t>
      </w:r>
    </w:p>
    <w:p>
      <w:pPr>
        <w:pStyle w:val="Heading1"/>
      </w:pPr>
      <w:r>
        <w:t>13. Traceability to PRD / TRD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A5F"/>
            <w:vAlign w:val="center"/>
            <w:tcBorders>
              <w:top w:val="single" w:sz="4" w:color="D9E5F2"/>
              <w:left w:val="single" w:sz="4" w:color="D9E5F2"/>
              <w:bottom w:val="single" w:sz="4" w:color="D9E5F2"/>
              <w:right w:val="single" w:sz="4" w:color="D9E5F2"/>
            </w:tcBorders>
          </w:tcPr>
          <w:p>
            <w:r/>
            <w:r>
              <w:rPr>
                <w:b/>
                <w:color w:val="FFFFFF"/>
                <w:sz w:val="18"/>
              </w:rPr>
              <w:t>Business layer</w:t>
            </w:r>
          </w:p>
        </w:tc>
        <w:tc>
          <w:tcPr>
            <w:tcW w:type="dxa" w:w="3744"/>
            <w:shd w:fill="163A5F"/>
            <w:vAlign w:val="center"/>
            <w:tcBorders>
              <w:top w:val="single" w:sz="4" w:color="D9E5F2"/>
              <w:left w:val="single" w:sz="4" w:color="D9E5F2"/>
              <w:bottom w:val="single" w:sz="4" w:color="D9E5F2"/>
              <w:right w:val="single" w:sz="4" w:color="D9E5F2"/>
            </w:tcBorders>
          </w:tcPr>
          <w:p>
            <w:r/>
            <w:r>
              <w:rPr>
                <w:b/>
                <w:color w:val="FFFFFF"/>
                <w:sz w:val="18"/>
              </w:rPr>
              <w:t>PRD</w:t>
            </w:r>
          </w:p>
        </w:tc>
        <w:tc>
          <w:tcPr>
            <w:tcW w:type="dxa" w:w="3744"/>
            <w:shd w:fill="163A5F"/>
            <w:vAlign w:val="center"/>
            <w:tcBorders>
              <w:top w:val="single" w:sz="4" w:color="D9E5F2"/>
              <w:left w:val="single" w:sz="4" w:color="D9E5F2"/>
              <w:bottom w:val="single" w:sz="4" w:color="D9E5F2"/>
              <w:right w:val="single" w:sz="4" w:color="D9E5F2"/>
            </w:tcBorders>
          </w:tcPr>
          <w:p>
            <w:r/>
            <w:r>
              <w:rPr>
                <w:b/>
                <w:color w:val="FFFFFF"/>
                <w:sz w:val="18"/>
              </w:rPr>
              <w:t>TRD</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Programme / nomination</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Programme + nomination requirements</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Programme, nomination, RBAC services</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Learning</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LMS + offline product requirements</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Client/local fabric/sync/content services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Trust</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Attendance + credentials requirements</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Attendance pipeline, cryptography, audit</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Employment</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Recruiter + outcomes requirements</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Employer/job/application/outcome services</w:t>
            </w:r>
          </w:p>
        </w:tc>
      </w:tr>
      <w:tr>
        <w:trPr>
          <w:cantSplit/>
        </w:trPr>
        <w:tc>
          <w:tcPr>
            <w:tcW w:type="dxa" w:w="2880"/>
            <w:shd w:fill="F3F7FB"/>
            <w:vAlign w:val="center"/>
            <w:tcBorders>
              <w:top w:val="single" w:sz="4" w:color="D9E5F2"/>
              <w:left w:val="single" w:sz="4" w:color="D9E5F2"/>
              <w:bottom w:val="single" w:sz="4" w:color="D9E5F2"/>
              <w:right w:val="single" w:sz="4" w:color="D9E5F2"/>
            </w:tcBorders>
          </w:tcPr>
          <w:p>
            <w:r/>
            <w:r>
              <w:rPr>
                <w:b w:val="0"/>
                <w:color w:val="17324D"/>
                <w:sz w:val="18"/>
              </w:rPr>
              <w:t>AI</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Bounded AI requirements</w:t>
            </w:r>
          </w:p>
        </w:tc>
        <w:tc>
          <w:tcPr>
            <w:tcW w:type="dxa" w:w="3744"/>
            <w:shd w:fill="F3F7FB"/>
            <w:vAlign w:val="center"/>
            <w:tcBorders>
              <w:top w:val="single" w:sz="4" w:color="D9E5F2"/>
              <w:left w:val="single" w:sz="4" w:color="D9E5F2"/>
              <w:bottom w:val="single" w:sz="4" w:color="D9E5F2"/>
              <w:right w:val="single" w:sz="4" w:color="D9E5F2"/>
            </w:tcBorders>
          </w:tcPr>
          <w:p>
            <w:r/>
            <w:r>
              <w:rPr>
                <w:b w:val="0"/>
                <w:color w:val="17324D"/>
                <w:sz w:val="18"/>
              </w:rPr>
              <w:t>RAG adapter, prompt and retrieval controls</w:t>
            </w:r>
          </w:p>
        </w:tc>
      </w:tr>
      <w:tr>
        <w:trPr>
          <w:cantSplit/>
        </w:trPr>
        <w:tc>
          <w:tcPr>
            <w:tcW w:type="dxa" w:w="2880"/>
            <w:vAlign w:val="center"/>
            <w:tcBorders>
              <w:top w:val="single" w:sz="4" w:color="D9E5F2"/>
              <w:left w:val="single" w:sz="4" w:color="D9E5F2"/>
              <w:bottom w:val="single" w:sz="4" w:color="D9E5F2"/>
              <w:right w:val="single" w:sz="4" w:color="D9E5F2"/>
            </w:tcBorders>
          </w:tcPr>
          <w:p>
            <w:r/>
            <w:r>
              <w:rPr>
                <w:b w:val="0"/>
                <w:color w:val="17324D"/>
                <w:sz w:val="18"/>
              </w:rPr>
              <w:t>Governance</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Analytics/security requirements</w:t>
            </w:r>
          </w:p>
        </w:tc>
        <w:tc>
          <w:tcPr>
            <w:tcW w:type="dxa" w:w="3744"/>
            <w:vAlign w:val="center"/>
            <w:tcBorders>
              <w:top w:val="single" w:sz="4" w:color="D9E5F2"/>
              <w:left w:val="single" w:sz="4" w:color="D9E5F2"/>
              <w:bottom w:val="single" w:sz="4" w:color="D9E5F2"/>
              <w:right w:val="single" w:sz="4" w:color="D9E5F2"/>
            </w:tcBorders>
          </w:tcPr>
          <w:p>
            <w:r/>
            <w:r>
              <w:rPr>
                <w:b w:val="0"/>
                <w:color w:val="17324D"/>
                <w:sz w:val="18"/>
              </w:rPr>
              <w:t>RBAC, audit, observability, integrations</w:t>
            </w:r>
          </w:p>
        </w:tc>
      </w:tr>
    </w:tbl>
    <w:p>
      <w:pPr>
        <w:spacing w:after="20"/>
      </w:pPr>
    </w:p>
    <w:p>
      <w:pPr>
        <w:pStyle w:val="Heading1"/>
      </w:pPr>
      <w:r>
        <w:t>Evidence &amp; Source Basis</w:t>
      </w:r>
    </w:p>
    <w:p>
      <w:r>
        <w:t>This document is grounded primarily in the official SIH26087 problem statement supplied in the project materials and the research corpus assembled during solution design. NCCT-specific operational facts that were not evidenced in the source set are explicitly marked as assumptions, open validation items, or future integration requirements.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63A5F"/>
            <w:vAlign w:val="center"/>
            <w:tcBorders>
              <w:top w:val="single" w:sz="4" w:color="D9E5F2"/>
              <w:left w:val="single" w:sz="4" w:color="D9E5F2"/>
              <w:bottom w:val="single" w:sz="4" w:color="D9E5F2"/>
              <w:right w:val="single" w:sz="4" w:color="D9E5F2"/>
            </w:tcBorders>
          </w:tcPr>
          <w:p>
            <w:r/>
            <w:r>
              <w:rPr>
                <w:b/>
                <w:color w:val="FFFFFF"/>
                <w:sz w:val="18"/>
              </w:rPr>
              <w:t>Source class</w:t>
            </w:r>
          </w:p>
        </w:tc>
        <w:tc>
          <w:tcPr>
            <w:tcW w:type="dxa" w:w="6912"/>
            <w:shd w:fill="163A5F"/>
            <w:vAlign w:val="center"/>
            <w:tcBorders>
              <w:top w:val="single" w:sz="4" w:color="D9E5F2"/>
              <w:left w:val="single" w:sz="4" w:color="D9E5F2"/>
              <w:bottom w:val="single" w:sz="4" w:color="D9E5F2"/>
              <w:right w:val="single" w:sz="4" w:color="D9E5F2"/>
            </w:tcBorders>
          </w:tcPr>
          <w:p>
            <w:r/>
            <w:r>
              <w:rPr>
                <w:b/>
                <w:color w:val="FFFFFF"/>
                <w:sz w:val="18"/>
              </w:rPr>
              <w:t>How it is used</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Official SIH26087 problem statement</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Hard requirement baseline: registration/nomination, profiles, multilingual e-learning, face/QR attendance, timetable/hostel/logistics, LMS/assessment/certification, skill verification, career chatbot, employer/recruiter dashboard, offline learning, centralized database, analytics, software + hardware.</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Offline/edge research corpus</w:t>
            </w:r>
          </w:p>
        </w:tc>
        <w:tc>
          <w:tcPr>
            <w:tcW w:type="dxa" w:w="6912"/>
            <w:vAlign w:val="center"/>
            <w:tcBorders>
              <w:top w:val="single" w:sz="4" w:color="D9E5F2"/>
              <w:left w:val="single" w:sz="4" w:color="D9E5F2"/>
              <w:bottom w:val="single" w:sz="4" w:color="D9E5F2"/>
              <w:right w:val="single" w:sz="4" w:color="D9E5F2"/>
            </w:tcBorders>
          </w:tcPr>
          <w:p>
            <w:r/>
            <w:r>
              <w:rPr>
                <w:b w:val="0"/>
                <w:color w:val="17324D"/>
                <w:sz w:val="18"/>
              </w:rPr>
              <w:t>Supports local-first learning, local cache, queued writes, append-only events, incremental sync, and low-cost local compute.</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Attendance/biometric research corpus</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Supports liveness, multimodal attendance, manual exception handling, data minimization, and caution against face-only verification.</w:t>
            </w:r>
          </w:p>
        </w:tc>
      </w:tr>
      <w:tr>
        <w:trPr>
          <w:cantSplit/>
        </w:trPr>
        <w:tc>
          <w:tcPr>
            <w:tcW w:type="dxa" w:w="3024"/>
            <w:vAlign w:val="center"/>
            <w:tcBorders>
              <w:top w:val="single" w:sz="4" w:color="D9E5F2"/>
              <w:left w:val="single" w:sz="4" w:color="D9E5F2"/>
              <w:bottom w:val="single" w:sz="4" w:color="D9E5F2"/>
              <w:right w:val="single" w:sz="4" w:color="D9E5F2"/>
            </w:tcBorders>
          </w:tcPr>
          <w:p>
            <w:r/>
            <w:r>
              <w:rPr>
                <w:b w:val="0"/>
                <w:color w:val="17324D"/>
                <w:sz w:val="18"/>
              </w:rPr>
              <w:t>Credential/employment research corpus</w:t>
            </w:r>
          </w:p>
        </w:tc>
        <w:tc>
          <w:tcPr>
            <w:tcW w:type="dxa" w:w="6912"/>
            <w:vAlign w:val="center"/>
            <w:tcBorders>
              <w:top w:val="single" w:sz="4" w:color="D9E5F2"/>
              <w:left w:val="single" w:sz="4" w:color="D9E5F2"/>
              <w:bottom w:val="single" w:sz="4" w:color="D9E5F2"/>
              <w:right w:val="single" w:sz="4" w:color="D9E5F2"/>
            </w:tcBorders>
          </w:tcPr>
          <w:p>
            <w:r/>
            <w:r>
              <w:rPr>
                <w:b w:val="0"/>
                <w:color w:val="17324D"/>
                <w:sz w:val="18"/>
              </w:rPr>
              <w:t>Supports signed credentials, verification endpoints, evidence-backed skills, explainable matching, and outcome tracking.</w:t>
            </w:r>
          </w:p>
        </w:tc>
      </w:tr>
      <w:tr>
        <w:trPr>
          <w:cantSplit/>
        </w:trPr>
        <w:tc>
          <w:tcPr>
            <w:tcW w:type="dxa" w:w="3024"/>
            <w:shd w:fill="F3F7FB"/>
            <w:vAlign w:val="center"/>
            <w:tcBorders>
              <w:top w:val="single" w:sz="4" w:color="D9E5F2"/>
              <w:left w:val="single" w:sz="4" w:color="D9E5F2"/>
              <w:bottom w:val="single" w:sz="4" w:color="D9E5F2"/>
              <w:right w:val="single" w:sz="4" w:color="D9E5F2"/>
            </w:tcBorders>
          </w:tcPr>
          <w:p>
            <w:r/>
            <w:r>
              <w:rPr>
                <w:b w:val="0"/>
                <w:color w:val="17324D"/>
                <w:sz w:val="18"/>
              </w:rPr>
              <w:t>NCCT-specific evidence review</w:t>
            </w:r>
          </w:p>
        </w:tc>
        <w:tc>
          <w:tcPr>
            <w:tcW w:type="dxa" w:w="6912"/>
            <w:shd w:fill="F3F7FB"/>
            <w:vAlign w:val="center"/>
            <w:tcBorders>
              <w:top w:val="single" w:sz="4" w:color="D9E5F2"/>
              <w:left w:val="single" w:sz="4" w:color="D9E5F2"/>
              <w:bottom w:val="single" w:sz="4" w:color="D9E5F2"/>
              <w:right w:val="single" w:sz="4" w:color="D9E5F2"/>
            </w:tcBorders>
          </w:tcPr>
          <w:p>
            <w:r/>
            <w:r>
              <w:rPr>
                <w:b w:val="0"/>
                <w:color w:val="17324D"/>
                <w:sz w:val="18"/>
              </w:rPr>
              <w:t>Confirms several details remain unverified: existing NCCT LMS/ERP, exact nomination flow, certificate format, APIs, center infrastructure, and employer roster.</w:t>
            </w:r>
          </w:p>
        </w:tc>
      </w:tr>
    </w:tbl>
    <w:p>
      <w:pPr>
        <w:spacing w:after="20"/>
      </w:pPr>
    </w:p>
    <w:tbl>
      <w:tblPr>
        <w:tblW w:type="auto" w:w="0"/>
        <w:jc w:val="center"/>
        <w:tblLayout w:type="fixed"/>
        <w:tblLook w:firstColumn="1" w:firstRow="1" w:lastColumn="0" w:lastRow="0" w:noHBand="0" w:noVBand="1" w:val="04A0"/>
      </w:tblPr>
      <w:tblGrid>
        <w:gridCol w:w="259"/>
        <w:gridCol w:w="9936"/>
      </w:tblGrid>
      <w:tr>
        <w:trPr>
          <w:cantSplit/>
        </w:trPr>
        <w:tc>
          <w:tcPr>
            <w:tcW w:type="dxa" w:w="5112"/>
            <w:shd w:fill="EA580C"/>
          </w:tcPr>
          <w:p/>
        </w:tc>
        <w:tc>
          <w:tcPr>
            <w:tcW w:type="dxa" w:w="5112"/>
            <w:shd w:fill="FFF7ED"/>
          </w:tcPr>
          <w:p>
            <w:r>
              <w:rPr>
                <w:b/>
                <w:color w:val="EA580C"/>
                <w:sz w:val="19"/>
              </w:rPr>
              <w:t>EVIDENCE DISCIPLINE</w:t>
            </w:r>
            <w:r>
              <w:rPr>
                <w:color w:val="17324D"/>
                <w:sz w:val="19"/>
              </w:rPr>
              <w:br/>
              <w:t>Do not present unverified NCCT workflows, employer rosters, APIs, adoption statistics, or infrastructure inventories as established facts.</w:t>
            </w:r>
          </w:p>
        </w:tc>
      </w:tr>
    </w:tbl>
    <w:p>
      <w:pPr>
        <w:spacing w:after="20"/>
      </w:pPr>
    </w:p>
    <w:p>
      <w:pPr>
        <w:pStyle w:val="Heading1"/>
      </w:pPr>
      <w:r>
        <w:t>14. BRD Acceptance Checklist</w:t>
      </w:r>
    </w:p>
    <w:p>
      <w:pPr>
        <w:pStyle w:val="ListBullet"/>
        <w:spacing w:after="60"/>
      </w:pPr>
      <w:r>
        <w:t>All PS-required capabilities are mapped to business capabilities.</w:t>
      </w:r>
    </w:p>
    <w:p>
      <w:pPr>
        <w:pStyle w:val="ListBullet"/>
        <w:spacing w:after="60"/>
      </w:pPr>
      <w:r>
        <w:t>All core user roles have defined outcomes and responsibilities.</w:t>
      </w:r>
    </w:p>
    <w:p>
      <w:pPr>
        <w:pStyle w:val="ListBullet"/>
        <w:spacing w:after="60"/>
      </w:pPr>
      <w:r>
        <w:t>Critical offline, attendance, credential and employment workflows have fallback behavior.</w:t>
      </w:r>
    </w:p>
    <w:p>
      <w:pPr>
        <w:pStyle w:val="ListBullet"/>
        <w:spacing w:after="60"/>
      </w:pPr>
      <w:r>
        <w:t>Business KPIs are defined without invented NCCT baseline values.</w:t>
      </w:r>
    </w:p>
    <w:p>
      <w:pPr>
        <w:pStyle w:val="ListBullet"/>
        <w:spacing w:after="60"/>
      </w:pPr>
      <w:r>
        <w:t>Unverified NCCT facts are explicitly marked and isolated from product assumptions.</w:t>
      </w:r>
    </w:p>
    <w:p>
      <w:pPr>
        <w:pStyle w:val="ListBullet"/>
        <w:spacing w:after="60"/>
      </w:pPr>
      <w:r>
        <w:t>MVP, phase 2 and out-of-scope boundaries are clear.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Ministry of Cooperation / NCCT problem context  •  Working design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SAHAKAR-LINK  |  BRD  |  SIH26087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