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163A5F"/>
          <w:sz w:val="56"/>
        </w:rPr>
        <w:t>SAHAKAR-LINK</w:t>
      </w:r>
    </w:p>
    <w:p>
      <w:pPr>
        <w:jc w:val="center"/>
      </w:pPr>
      <w:r>
        <w:rPr>
          <w:b/>
          <w:color w:val="2563EB"/>
          <w:sz w:val="40"/>
        </w:rPr>
        <w:t>Market Requirements Document (MRD)</w:t>
      </w:r>
    </w:p>
    <w:p>
      <w:pPr>
        <w:jc w:val="center"/>
      </w:pPr>
      <w:r>
        <w:rPr>
          <w:color w:val="64748B"/>
          <w:sz w:val="22"/>
        </w:rPr>
        <w:t>Ecosystem demand, user segments, alternatives, differentiation, adoption and market-facing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936"/>
      </w:tblGrid>
      <w:tr>
        <w:trPr>
          <w:cantSplit/>
        </w:trPr>
        <w:tc>
          <w:tcPr>
            <w:tcW w:type="dxa" w:w="5112"/>
            <w:shd w:fill="0F766E"/>
          </w:tcPr>
          <w:p/>
        </w:tc>
        <w:tc>
          <w:tcPr>
            <w:tcW w:type="dxa" w:w="5112"/>
            <w:shd w:fill="EEF4FF"/>
          </w:tcPr>
          <w:p>
            <w:r>
              <w:rPr>
                <w:b/>
                <w:color w:val="0F766E"/>
                <w:sz w:val="19"/>
              </w:rPr>
              <w:t>PRODUCT POSITIONING</w:t>
            </w:r>
            <w:r>
              <w:rPr>
                <w:color w:val="17324D"/>
                <w:sz w:val="19"/>
              </w:rPr>
              <w:br/>
              <w:t>A hardware-agnostic, offline-first digital operating system connecting cooperative training from nomination through verified skills and employment outcomes.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91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Problem Statement</w:t>
            </w:r>
          </w:p>
        </w:tc>
        <w:tc>
          <w:tcPr>
            <w:tcW w:type="dxa" w:w="69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SIH26087 — AI &amp; LMS-Enabled Cooperative Capacity Building, ERP &amp; Employment Ecosystem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Organization</w:t>
            </w:r>
          </w:p>
        </w:tc>
        <w:tc>
          <w:tcPr>
            <w:tcW w:type="dxa" w:w="69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Ministry of Cooperation / National Council for Cooperative Training (NCCT)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Category / Theme</w:t>
            </w:r>
          </w:p>
        </w:tc>
        <w:tc>
          <w:tcPr>
            <w:tcW w:type="dxa" w:w="69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Hardware / Smart Education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Architecture stance</w:t>
            </w:r>
          </w:p>
        </w:tc>
        <w:tc>
          <w:tcPr>
            <w:tcW w:type="dxa" w:w="69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Software-first, hardware-agnostic; optional local compute where available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Document status</w:t>
            </w:r>
          </w:p>
        </w:tc>
        <w:tc>
          <w:tcPr>
            <w:tcW w:type="dxa" w:w="69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Working baseline for SIH design and implementation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01. Executive Market View</w:t>
      </w:r>
    </w:p>
    <w:p>
      <w:r>
        <w:t>For this government problem, “market” means the institutional ecosystem in which NCCT, training centres, trainers, trainees, employers and future government platforms interact. Sahakar-Link is therefore positioned as an interoperable public-sector platform rather than a commercial consumer product, and this MRD focuses on unmet workflow needs, alternatives, adoption barriers and value signals rather than unsupported market-size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936"/>
      </w:tblGrid>
      <w:tr>
        <w:trPr>
          <w:cantSplit/>
        </w:trPr>
        <w:tc>
          <w:tcPr>
            <w:tcW w:type="dxa" w:w="5112"/>
            <w:shd w:fill="15803D"/>
          </w:tcPr>
          <w:p/>
        </w:tc>
        <w:tc>
          <w:tcPr>
            <w:tcW w:type="dxa" w:w="5112"/>
            <w:shd w:fill="ECFDF5"/>
          </w:tcPr>
          <w:p>
            <w:r>
              <w:rPr>
                <w:b/>
                <w:color w:val="15803D"/>
                <w:sz w:val="19"/>
              </w:rPr>
              <w:t>MARKET THESIS</w:t>
            </w:r>
            <w:r>
              <w:rPr>
                <w:color w:val="17324D"/>
                <w:sz w:val="19"/>
              </w:rPr>
              <w:br/>
              <w:t>There is an opportunity for a cooperative-specific operating layer if it connects the workflows that generic learning, credential and recruitment systems do not jointly orchestrate for NCCT-style training delivery.</w:t>
            </w:r>
          </w:p>
        </w:tc>
      </w:tr>
    </w:tbl>
    <w:p>
      <w:pPr>
        <w:spacing w:after="20"/>
      </w:pPr>
    </w:p>
    <w:p>
      <w:pPr>
        <w:pStyle w:val="Heading1"/>
      </w:pPr>
      <w:r>
        <w:t>02. Target Ecosystem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403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Need state</w:t>
            </w:r>
          </w:p>
        </w:tc>
        <w:tc>
          <w:tcPr>
            <w:tcW w:type="dxa" w:w="302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Product opportunity</w:t>
            </w:r>
          </w:p>
        </w:tc>
      </w:tr>
      <w:tr>
        <w:trPr>
          <w:cantSplit/>
        </w:trPr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Central training governance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Needs programme visibility and consistent definitions across institutions</w:t>
            </w:r>
          </w:p>
        </w:tc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Central control plane + analytics + configurable governance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Training institutions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Need practical administration at centre level</w:t>
            </w:r>
          </w:p>
        </w:tc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Nomination, batch, timetable, hostel, logistics and attendance</w:t>
            </w:r>
          </w:p>
        </w:tc>
      </w:tr>
      <w:tr>
        <w:trPr>
          <w:cantSplit/>
        </w:trPr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Trainers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Need low-friction delivery and learner visibility</w:t>
            </w:r>
          </w:p>
        </w:tc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Attendance, progress, assessments and alerts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Rural / low-connectivity learners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Need access despite unreliable connectivity and language barriers</w:t>
            </w:r>
          </w:p>
        </w:tc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Offline learning, local caching, mobile-first UX, language support</w:t>
            </w:r>
          </w:p>
        </w:tc>
      </w:tr>
      <w:tr>
        <w:trPr>
          <w:cantSplit/>
        </w:trPr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Cooperative employers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Need candidates with understandable evidence</w:t>
            </w:r>
          </w:p>
        </w:tc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Verified employer/job workflow and skill-based discovery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Government ecosystem partners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Need interoperability and non-duplication</w:t>
            </w:r>
          </w:p>
        </w:tc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API/adaptor layer and standards-aware credentials</w:t>
            </w:r>
          </w:p>
        </w:tc>
      </w:tr>
    </w:tbl>
    <w:p>
      <w:pPr>
        <w:spacing w:after="20"/>
      </w:pPr>
    </w:p>
    <w:p>
      <w:pPr>
        <w:pStyle w:val="Heading1"/>
      </w:pPr>
      <w:r>
        <w:t>03. Market / Ecosystem Problems</w:t>
      </w:r>
    </w:p>
    <w:p>
      <w:pPr>
        <w:pStyle w:val="ListNumber"/>
        <w:spacing w:after="60"/>
      </w:pPr>
      <w:r>
        <w:t>Generic LMS capability does not by itself solve training-centre operations.</w:t>
      </w:r>
    </w:p>
    <w:p>
      <w:pPr>
        <w:pStyle w:val="ListNumber"/>
        <w:spacing w:after="60"/>
      </w:pPr>
      <w:r>
        <w:t>Disconnected operational records create friction across nomination, delivery, attendance and certification.</w:t>
      </w:r>
    </w:p>
    <w:p>
      <w:pPr>
        <w:pStyle w:val="ListNumber"/>
        <w:spacing w:after="60"/>
      </w:pPr>
      <w:r>
        <w:t>Continuous connectivity cannot be assumed for every learning workflow.</w:t>
      </w:r>
    </w:p>
    <w:p>
      <w:pPr>
        <w:pStyle w:val="ListNumber"/>
        <w:spacing w:after="60"/>
      </w:pPr>
      <w:r>
        <w:t>A certificate alone is weaker than a structured, evidence-backed skill profile when employers need to interpret competence.</w:t>
      </w:r>
    </w:p>
    <w:p>
      <w:pPr>
        <w:pStyle w:val="ListNumber"/>
        <w:spacing w:after="60"/>
      </w:pPr>
      <w:r>
        <w:t>Recruitment workflows need employer-side structure and candidate evidence rather than just a public job board.</w:t>
      </w:r>
    </w:p>
    <w:p>
      <w:pPr>
        <w:pStyle w:val="ListNumber"/>
        <w:spacing w:after="60"/>
      </w:pPr>
      <w:r>
        <w:t>AI creates value only when it is grounded in trusted programme, course and skill information.</w:t>
      </w:r>
    </w:p>
    <w:p>
      <w:pPr>
        <w:pStyle w:val="ListNumber"/>
        <w:spacing w:after="60"/>
      </w:pPr>
      <w:r>
        <w:t>Public-sector deployment needs auditability, fallback paths, privacy controls and future interoperability.</w:t>
      </w:r>
    </w:p>
    <w:p>
      <w:pPr>
        <w:pStyle w:val="Heading1"/>
      </w:pPr>
      <w:r>
        <w:t>04. Alternative / Existing Ecosystem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Alternative / rail</w:t>
            </w:r>
          </w:p>
        </w:tc>
        <w:tc>
          <w:tcPr>
            <w:tcW w:type="dxa" w:w="331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403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Gap / implication for Sahakar-Link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Generic LMS</w:t>
            </w:r>
          </w:p>
        </w:tc>
        <w:tc>
          <w:tcPr>
            <w:tcW w:type="dxa" w:w="33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Course delivery, assessments and content management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Does not automatically provide cooperative-specific centre operations, offline sync governance, employment evidence and unified outcome tracking.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Government digital learning platforms</w:t>
            </w:r>
          </w:p>
        </w:tc>
        <w:tc>
          <w:tcPr>
            <w:tcW w:type="dxa" w:w="33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Scale, content and public infrastructure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Integration opportunity; Sahakar-Link should avoid duplicating generic learning infrastructure where a verified rail can serve.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Digital credential platforms</w:t>
            </w:r>
          </w:p>
        </w:tc>
        <w:tc>
          <w:tcPr>
            <w:tcW w:type="dxa" w:w="33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Issuance/verification infrastructure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Prefer integration or export over building a new national credential ecosystem.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Generic recruitment/job portals</w:t>
            </w:r>
          </w:p>
        </w:tc>
        <w:tc>
          <w:tcPr>
            <w:tcW w:type="dxa" w:w="33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Large discovery patterns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Not tailored to verified cooperative training evidence and training-to-employment lifecycle.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Manual spreadsheets / paper workflows</w:t>
            </w:r>
          </w:p>
        </w:tc>
        <w:tc>
          <w:tcPr>
            <w:tcW w:type="dxa" w:w="33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Low setup cost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Weak auditability, fragmented data and poor cross-centre visibility.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Custom proprietary hardware systems</w:t>
            </w:r>
          </w:p>
        </w:tc>
        <w:tc>
          <w:tcPr>
            <w:tcW w:type="dxa" w:w="33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Purpose-built control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Higher deployment and maintenance burden; hardware-agnostic Local Fabric lowers lock-in.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936"/>
      </w:tblGrid>
      <w:tr>
        <w:trPr>
          <w:cantSplit/>
        </w:trPr>
        <w:tc>
          <w:tcPr>
            <w:tcW w:type="dxa" w:w="5112"/>
            <w:shd w:fill="EA580C"/>
          </w:tcPr>
          <w:p/>
        </w:tc>
        <w:tc>
          <w:tcPr>
            <w:tcW w:type="dxa" w:w="5112"/>
            <w:shd w:fill="FFF7ED"/>
          </w:tcPr>
          <w:p>
            <w:r>
              <w:rPr>
                <w:b/>
                <w:color w:val="EA580C"/>
                <w:sz w:val="19"/>
              </w:rPr>
              <w:t>IMPORTANT</w:t>
            </w:r>
            <w:r>
              <w:rPr>
                <w:color w:val="17324D"/>
                <w:sz w:val="19"/>
              </w:rPr>
              <w:br/>
              <w:t>The research corpus did not verify NCCT’s exact existing LMS/ERP, employer roster, certificate format, APIs or centre infrastructure. These are therefore market-validation questions, not established competitive facts.</w:t>
            </w:r>
          </w:p>
        </w:tc>
      </w:tr>
    </w:tbl>
    <w:p>
      <w:pPr>
        <w:spacing w:after="20"/>
      </w:pPr>
    </w:p>
    <w:p>
      <w:pPr>
        <w:pStyle w:val="Heading1"/>
      </w:pPr>
      <w:r>
        <w:t>05. Differentiation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Differentiator</w:t>
            </w:r>
          </w:p>
        </w:tc>
        <w:tc>
          <w:tcPr>
            <w:tcW w:type="dxa" w:w="6480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34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Hardware-agnostic Local Fabric</w:t>
            </w:r>
          </w:p>
        </w:tc>
        <w:tc>
          <w:tcPr>
            <w:tcW w:type="dxa" w:w="64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Runs on suitable existing devices while supporting optional local compute; reduces proprietary lock-in.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Offline-first learning + event sync</w:t>
            </w:r>
          </w:p>
        </w:tc>
        <w:tc>
          <w:tcPr>
            <w:tcW w:type="dxa" w:w="64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Treats connectivity loss as a normal operating state rather than a fatal exception.</w:t>
            </w:r>
          </w:p>
        </w:tc>
      </w:tr>
      <w:tr>
        <w:trPr>
          <w:cantSplit/>
        </w:trPr>
        <w:tc>
          <w:tcPr>
            <w:tcW w:type="dxa" w:w="34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Evidence-backed skill profile</w:t>
            </w:r>
          </w:p>
        </w:tc>
        <w:tc>
          <w:tcPr>
            <w:tcW w:type="dxa" w:w="64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Converts course/assessment/certificate records into employer-readable evidence.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Resilient attendance</w:t>
            </w:r>
          </w:p>
        </w:tc>
        <w:tc>
          <w:tcPr>
            <w:tcW w:type="dxa" w:w="64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Combines face/liveness, QR and human review instead of relying on one brittle method.</w:t>
            </w:r>
          </w:p>
        </w:tc>
      </w:tr>
      <w:tr>
        <w:trPr>
          <w:cantSplit/>
        </w:trPr>
        <w:tc>
          <w:tcPr>
            <w:tcW w:type="dxa" w:w="34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Training-to-employment lifecycle</w:t>
            </w:r>
          </w:p>
        </w:tc>
        <w:tc>
          <w:tcPr>
            <w:tcW w:type="dxa" w:w="64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Connects learning to application, selection, joining and verified outcomes.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Bounded AI</w:t>
            </w:r>
          </w:p>
        </w:tc>
        <w:tc>
          <w:tcPr>
            <w:tcW w:type="dxa" w:w="64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Uses AI for guidance and explanation without granting opaque authority over high-impact decisions.</w:t>
            </w:r>
          </w:p>
        </w:tc>
      </w:tr>
      <w:tr>
        <w:trPr>
          <w:cantSplit/>
        </w:trPr>
        <w:tc>
          <w:tcPr>
            <w:tcW w:type="dxa" w:w="34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Integration-first</w:t>
            </w:r>
          </w:p>
        </w:tc>
        <w:tc>
          <w:tcPr>
            <w:tcW w:type="dxa" w:w="64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Designed to coexist with future NCCT/government systems instead of replacing unknown legacy systems.</w:t>
            </w:r>
          </w:p>
        </w:tc>
      </w:tr>
    </w:tbl>
    <w:p>
      <w:pPr>
        <w:spacing w:after="20"/>
      </w:pPr>
    </w:p>
    <w:p>
      <w:pPr>
        <w:pStyle w:val="Heading1"/>
      </w:pPr>
      <w:r>
        <w:t>06. Market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86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Market requirement</w:t>
            </w:r>
          </w:p>
        </w:tc>
        <w:tc>
          <w:tcPr>
            <w:tcW w:type="dxa" w:w="547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115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86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MR-01</w:t>
            </w:r>
          </w:p>
        </w:tc>
        <w:tc>
          <w:tcPr>
            <w:tcW w:type="dxa" w:w="244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Cross-centre consistency</w:t>
            </w:r>
          </w:p>
        </w:tc>
        <w:tc>
          <w:tcPr>
            <w:tcW w:type="dxa" w:w="547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The solution must support common programme, learner, assessment, credential and outcome concepts across institutions.</w:t>
            </w:r>
          </w:p>
        </w:tc>
        <w:tc>
          <w:tcPr>
            <w:tcW w:type="dxa" w:w="115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MR-02</w:t>
            </w:r>
          </w:p>
        </w:tc>
        <w:tc>
          <w:tcPr>
            <w:tcW w:type="dxa" w:w="244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Low-connectivity access</w:t>
            </w:r>
          </w:p>
        </w:tc>
        <w:tc>
          <w:tcPr>
            <w:tcW w:type="dxa" w:w="547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The learning experience must continue without live internet for supported workflows.</w:t>
            </w:r>
          </w:p>
        </w:tc>
        <w:tc>
          <w:tcPr>
            <w:tcW w:type="dxa" w:w="115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MR-03</w:t>
            </w:r>
          </w:p>
        </w:tc>
        <w:tc>
          <w:tcPr>
            <w:tcW w:type="dxa" w:w="244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Mobile accessibility</w:t>
            </w:r>
          </w:p>
        </w:tc>
        <w:tc>
          <w:tcPr>
            <w:tcW w:type="dxa" w:w="547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Learners must be able to use the platform on common mobile/tablet/browser environments.</w:t>
            </w:r>
          </w:p>
        </w:tc>
        <w:tc>
          <w:tcPr>
            <w:tcW w:type="dxa" w:w="115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MR-04</w:t>
            </w:r>
          </w:p>
        </w:tc>
        <w:tc>
          <w:tcPr>
            <w:tcW w:type="dxa" w:w="244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Operational simplicity</w:t>
            </w:r>
          </w:p>
        </w:tc>
        <w:tc>
          <w:tcPr>
            <w:tcW w:type="dxa" w:w="547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Centre staff should manage core tasks without specialist IT knowledge.</w:t>
            </w:r>
          </w:p>
        </w:tc>
        <w:tc>
          <w:tcPr>
            <w:tcW w:type="dxa" w:w="115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MR-05</w:t>
            </w:r>
          </w:p>
        </w:tc>
        <w:tc>
          <w:tcPr>
            <w:tcW w:type="dxa" w:w="244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Trust &amp; verification</w:t>
            </w:r>
          </w:p>
        </w:tc>
        <w:tc>
          <w:tcPr>
            <w:tcW w:type="dxa" w:w="547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Employers and administrators need machine-verifiable evidence for credentials and important status changes.</w:t>
            </w:r>
          </w:p>
        </w:tc>
        <w:tc>
          <w:tcPr>
            <w:tcW w:type="dxa" w:w="115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MR-06</w:t>
            </w:r>
          </w:p>
        </w:tc>
        <w:tc>
          <w:tcPr>
            <w:tcW w:type="dxa" w:w="244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Employer usability</w:t>
            </w:r>
          </w:p>
        </w:tc>
        <w:tc>
          <w:tcPr>
            <w:tcW w:type="dxa" w:w="547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Job and candidate information must be structured around skills and evidence, not only free text.</w:t>
            </w:r>
          </w:p>
        </w:tc>
        <w:tc>
          <w:tcPr>
            <w:tcW w:type="dxa" w:w="115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MR-07</w:t>
            </w:r>
          </w:p>
        </w:tc>
        <w:tc>
          <w:tcPr>
            <w:tcW w:type="dxa" w:w="244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Multilingual access</w:t>
            </w:r>
          </w:p>
        </w:tc>
        <w:tc>
          <w:tcPr>
            <w:tcW w:type="dxa" w:w="547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Core learning and guidance flows must support configurable Indian language experiences.</w:t>
            </w:r>
          </w:p>
        </w:tc>
        <w:tc>
          <w:tcPr>
            <w:tcW w:type="dxa" w:w="115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MR-08</w:t>
            </w:r>
          </w:p>
        </w:tc>
        <w:tc>
          <w:tcPr>
            <w:tcW w:type="dxa" w:w="244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Auditability</w:t>
            </w:r>
          </w:p>
        </w:tc>
        <w:tc>
          <w:tcPr>
            <w:tcW w:type="dxa" w:w="547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High-impact actions must remain traceable.</w:t>
            </w:r>
          </w:p>
        </w:tc>
        <w:tc>
          <w:tcPr>
            <w:tcW w:type="dxa" w:w="115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86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MR-09</w:t>
            </w:r>
          </w:p>
        </w:tc>
        <w:tc>
          <w:tcPr>
            <w:tcW w:type="dxa" w:w="244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Interoperability</w:t>
            </w:r>
          </w:p>
        </w:tc>
        <w:tc>
          <w:tcPr>
            <w:tcW w:type="dxa" w:w="547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External government/institution systems must be connectable without redesigning the core model.</w:t>
            </w:r>
          </w:p>
        </w:tc>
        <w:tc>
          <w:tcPr>
            <w:tcW w:type="dxa" w:w="115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MR-10</w:t>
            </w:r>
          </w:p>
        </w:tc>
        <w:tc>
          <w:tcPr>
            <w:tcW w:type="dxa" w:w="244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Explainable AI</w:t>
            </w:r>
          </w:p>
        </w:tc>
        <w:tc>
          <w:tcPr>
            <w:tcW w:type="dxa" w:w="547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AI recommendations and answers must be traceable to approved information where applicable.</w:t>
            </w:r>
          </w:p>
        </w:tc>
        <w:tc>
          <w:tcPr>
            <w:tcW w:type="dxa" w:w="115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pStyle w:val="Heading1"/>
      </w:pPr>
      <w:r>
        <w:t>07. User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460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Job-to-be-done</w:t>
            </w:r>
          </w:p>
        </w:tc>
        <w:tc>
          <w:tcPr>
            <w:tcW w:type="dxa" w:w="316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Success signal</w:t>
            </w:r>
          </w:p>
        </w:tc>
      </w:tr>
      <w:tr>
        <w:trPr>
          <w:cantSplit/>
        </w:trPr>
        <w:tc>
          <w:tcPr>
            <w:tcW w:type="dxa" w:w="216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Institution admin</w:t>
            </w:r>
          </w:p>
        </w:tc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“Help me create and run a programme without managing multiple disconnected tools.”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One workflow for nomination → batch → timetable → attendance → completion.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Trainer</w:t>
            </w:r>
          </w:p>
        </w:tc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“Help me teach and monitor learners without repetitive administration.”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Attendance, progress and assessment actions happen in one place.</w:t>
            </w:r>
          </w:p>
        </w:tc>
      </w:tr>
      <w:tr>
        <w:trPr>
          <w:cantSplit/>
        </w:trPr>
        <w:tc>
          <w:tcPr>
            <w:tcW w:type="dxa" w:w="216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Trainee</w:t>
            </w:r>
          </w:p>
        </w:tc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“Let me learn, prove my skills and find relevant next opportunities even when connectivity is poor.”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Offline learning + verified skill profile + job application.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Employer</w:t>
            </w:r>
          </w:p>
        </w:tc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“Show me candidates with evidence for the skills I require.”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Explainable match with credential/assessment evidence.</w:t>
            </w:r>
          </w:p>
        </w:tc>
      </w:tr>
      <w:tr>
        <w:trPr>
          <w:cantSplit/>
        </w:trPr>
        <w:tc>
          <w:tcPr>
            <w:tcW w:type="dxa" w:w="216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NCCT administrator</w:t>
            </w:r>
          </w:p>
        </w:tc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“Show me what is happening across programmes and what outcomes they produce.”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Cross-centre analytics and outcome funnel.</w:t>
            </w:r>
          </w:p>
        </w:tc>
      </w:tr>
    </w:tbl>
    <w:p>
      <w:pPr>
        <w:spacing w:after="20"/>
      </w:pPr>
    </w:p>
    <w:p>
      <w:pPr>
        <w:pStyle w:val="Heading1"/>
      </w:pPr>
      <w:r>
        <w:t>08. Adoption Requirements</w:t>
      </w:r>
    </w:p>
    <w:p>
      <w:pPr>
        <w:pStyle w:val="ListBullet"/>
        <w:spacing w:after="60"/>
      </w:pPr>
      <w:r>
        <w:t>Low-friction onboarding for centres and employers.</w:t>
      </w:r>
    </w:p>
    <w:p>
      <w:pPr>
        <w:pStyle w:val="ListBullet"/>
        <w:spacing w:after="60"/>
      </w:pPr>
      <w:r>
        <w:t>Role-specific workflows rather than one giant dashboard.</w:t>
      </w:r>
    </w:p>
    <w:p>
      <w:pPr>
        <w:pStyle w:val="ListBullet"/>
        <w:spacing w:after="60"/>
      </w:pPr>
      <w:r>
        <w:t>Local language support and accessible UI patterns.</w:t>
      </w:r>
    </w:p>
    <w:p>
      <w:pPr>
        <w:pStyle w:val="ListBullet"/>
        <w:spacing w:after="60"/>
      </w:pPr>
      <w:r>
        <w:t>Clear offline/online status and synchronization feedback.</w:t>
      </w:r>
    </w:p>
    <w:p>
      <w:pPr>
        <w:pStyle w:val="ListBullet"/>
        <w:spacing w:after="60"/>
      </w:pPr>
      <w:r>
        <w:t>Visible exception queues for staff rather than silent automation.</w:t>
      </w:r>
    </w:p>
    <w:p>
      <w:pPr>
        <w:pStyle w:val="ListBullet"/>
        <w:spacing w:after="60"/>
      </w:pPr>
      <w:r>
        <w:t>Minimal dependence on new hardware purchases.</w:t>
      </w:r>
    </w:p>
    <w:p>
      <w:pPr>
        <w:pStyle w:val="ListBullet"/>
        <w:spacing w:after="60"/>
      </w:pPr>
      <w:r>
        <w:t>Strong auditability for governance-sensitive operations.</w:t>
      </w:r>
    </w:p>
    <w:p>
      <w:pPr>
        <w:pStyle w:val="ListBullet"/>
        <w:spacing w:after="60"/>
      </w:pPr>
      <w:r>
        <w:t>Export/integration pathways to avoid ecosystem lock-in.</w:t>
      </w:r>
    </w:p>
    <w:p>
      <w:pPr>
        <w:pStyle w:val="Heading1"/>
      </w:pPr>
      <w:r>
        <w:t>09. Demand-Side Employment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03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Market implication</w:t>
            </w:r>
          </w:p>
        </w:tc>
        <w:tc>
          <w:tcPr>
            <w:tcW w:type="dxa" w:w="302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MVP interpretation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Employer verification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Recruiters need trust that an organization is legitimate</w:t>
            </w:r>
          </w:p>
        </w:tc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Manual/admin verification 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Structured jobs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Matching requires standardized fields</w:t>
            </w:r>
          </w:p>
        </w:tc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Title, location, skills, experience, employment type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Candidate evidence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Certificates alone may be insufficiently descriptive</w:t>
            </w:r>
          </w:p>
        </w:tc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Skill + course + assessment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Explainable matching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Recruiters need reasons, not opaque scores</w:t>
            </w:r>
          </w:p>
        </w:tc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Required skills vs verified evidence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Candidate consent</w:t>
            </w:r>
          </w:p>
        </w:tc>
        <w:tc>
          <w:tcPr>
            <w:tcW w:type="dxa" w:w="403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Sensitive profile access should be controlled</w:t>
            </w:r>
          </w:p>
        </w:tc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Role/permission-based visibility and application flow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Outcome tracking</w:t>
            </w:r>
          </w:p>
        </w:tc>
        <w:tc>
          <w:tcPr>
            <w:tcW w:type="dxa" w:w="403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Placement counts alone can mislead</w:t>
            </w:r>
          </w:p>
        </w:tc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Application → joining → employer confirmation → retention milestone</w:t>
            </w:r>
          </w:p>
        </w:tc>
      </w:tr>
    </w:tbl>
    <w:p>
      <w:pPr>
        <w:spacing w:after="20"/>
      </w:pPr>
    </w:p>
    <w:p>
      <w:pPr>
        <w:pStyle w:val="Heading1"/>
      </w:pPr>
      <w:r>
        <w:t>10. AI Market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AI use case</w:t>
            </w:r>
          </w:p>
        </w:tc>
        <w:tc>
          <w:tcPr>
            <w:tcW w:type="dxa" w:w="388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User value</w:t>
            </w:r>
          </w:p>
        </w:tc>
        <w:tc>
          <w:tcPr>
            <w:tcW w:type="dxa" w:w="316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Guardrail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Career Copilot</w:t>
            </w:r>
          </w:p>
        </w:tc>
        <w:tc>
          <w:tcPr>
            <w:tcW w:type="dxa" w:w="388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Accessible, multilingual guidance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Ground on approved knowledge; fallback when uncertain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Learning Copilot</w:t>
            </w:r>
          </w:p>
        </w:tc>
        <w:tc>
          <w:tcPr>
            <w:tcW w:type="dxa" w:w="388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Explain/summarize course content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Stay within course-approved content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Skill extraction</w:t>
            </w:r>
          </w:p>
        </w:tc>
        <w:tc>
          <w:tcPr>
            <w:tcW w:type="dxa" w:w="388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Convert evidence into structured skills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Human review for final canonical skill mapping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Job parsing</w:t>
            </w:r>
          </w:p>
        </w:tc>
        <w:tc>
          <w:tcPr>
            <w:tcW w:type="dxa" w:w="388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Structure job requirements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Show extracted requirements to recruiter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Explainable matching</w:t>
            </w:r>
          </w:p>
        </w:tc>
        <w:tc>
          <w:tcPr>
            <w:tcW w:type="dxa" w:w="388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Reduce search effort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No hidden hiring decision; show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Admin intelligence</w:t>
            </w:r>
          </w:p>
        </w:tc>
        <w:tc>
          <w:tcPr>
            <w:tcW w:type="dxa" w:w="388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Surface anomalies and trends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Alert/recommend, do not autonomously sanction</w:t>
            </w:r>
          </w:p>
        </w:tc>
      </w:tr>
    </w:tbl>
    <w:p>
      <w:pPr>
        <w:spacing w:after="20"/>
      </w:pPr>
    </w:p>
    <w:p>
      <w:pPr>
        <w:pStyle w:val="Heading1"/>
      </w:pPr>
      <w:r>
        <w:t>11. Competitive / Positioning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936"/>
      </w:tblGrid>
      <w:tr>
        <w:trPr>
          <w:cantSplit/>
        </w:trPr>
        <w:tc>
          <w:tcPr>
            <w:tcW w:type="dxa" w:w="5112"/>
            <w:shd w:fill="0F766E"/>
          </w:tcPr>
          <w:p/>
        </w:tc>
        <w:tc>
          <w:tcPr>
            <w:tcW w:type="dxa" w:w="5112"/>
            <w:shd w:fill="EEFDF6"/>
          </w:tcPr>
          <w:p>
            <w:r>
              <w:rPr>
                <w:b/>
                <w:color w:val="0F766E"/>
                <w:sz w:val="19"/>
              </w:rPr>
              <w:t>POSITIONING</w:t>
            </w:r>
            <w:r>
              <w:rPr>
                <w:color w:val="17324D"/>
                <w:sz w:val="19"/>
              </w:rPr>
              <w:br/>
              <w:t>For cooperative training institutions that need one operational lifecycle across learning, administration and employment, Sahakar-Link is an offline-first, evidence-driven training operating system that can run across existing devices and connect to future government rails.</w:t>
            </w:r>
          </w:p>
        </w:tc>
      </w:tr>
    </w:tbl>
    <w:p>
      <w:pPr>
        <w:spacing w:after="20"/>
      </w:pPr>
    </w:p>
    <w:p>
      <w:r>
        <w:t>It is differentiated not by having the most AI features, but by combining resilience, evidence, interoperability and outcome tracking into a single training-to-employment workflow.</w:t>
      </w:r>
    </w:p>
    <w:p>
      <w:pPr>
        <w:pStyle w:val="Heading1"/>
      </w:pPr>
      <w:r>
        <w:t>12. Market Validation Plan</w:t>
      </w:r>
    </w:p>
    <w:p>
      <w:pPr>
        <w:spacing w:after="60"/>
        <w:ind w:left="360" w:hanging="259"/>
      </w:pPr>
      <w:r>
        <w:t>1. Validate current NCCT nomination, LMS, ERP and certificate workflows with official NCCT/VAMNICOM/RICM/ICM sources or stakeholders.</w:t>
      </w:r>
    </w:p>
    <w:p>
      <w:pPr>
        <w:spacing w:after="60"/>
        <w:ind w:left="360" w:hanging="259"/>
      </w:pPr>
      <w:r>
        <w:t>2. Identify real employer onboarding and placement mechanisms before making any production employment-network claim.</w:t>
      </w:r>
    </w:p>
    <w:p>
      <w:pPr>
        <w:spacing w:after="60"/>
        <w:ind w:left="360" w:hanging="259"/>
      </w:pPr>
      <w:r>
        <w:t>3. Confirm which external credential or learning rails NCCT expects to integrate.</w:t>
      </w:r>
    </w:p>
    <w:p>
      <w:pPr>
        <w:spacing w:after="60"/>
        <w:ind w:left="360" w:hanging="259"/>
      </w:pPr>
      <w:r>
        <w:t>4. Pilot the Local Fabric on representative center devices and connectivity conditions.</w:t>
      </w:r>
    </w:p>
    <w:p>
      <w:pPr>
        <w:spacing w:after="60"/>
        <w:ind w:left="360" w:hanging="259"/>
      </w:pPr>
      <w:r>
        <w:t>5. Validate multilingual workflows with target users rather than assuming language preference.</w:t>
      </w:r>
    </w:p>
    <w:p>
      <w:pPr>
        <w:spacing w:after="60"/>
        <w:ind w:left="360" w:hanging="259"/>
      </w:pPr>
      <w:r>
        <w:t>6. Measure the full lifecycle in a pilot: nomination → training → certification → employer interaction → outcome.</w:t>
      </w:r>
    </w:p>
    <w:p>
      <w:pPr>
        <w:pStyle w:val="Heading1"/>
      </w:pPr>
      <w:r>
        <w:t>13. Market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2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6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74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Low employer adoption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Few verified jobs / low recruiter activity</w:t>
            </w:r>
          </w:p>
        </w:tc>
        <w:tc>
          <w:tcPr>
            <w:tcW w:type="dxa" w:w="374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Start with structured directories and small verified cohorts; measure response.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Existing platform overlap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Stakeholders point to existing LMS/ERP/credential rails</w:t>
            </w:r>
          </w:p>
        </w:tc>
        <w:tc>
          <w:tcPr>
            <w:tcW w:type="dxa" w:w="374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Position Sahakar-Link as integration/orchestration layer where appropriate.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Hardware procurement friction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Centres resist new devices</w:t>
            </w:r>
          </w:p>
        </w:tc>
        <w:tc>
          <w:tcPr>
            <w:tcW w:type="dxa" w:w="374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Hardware-agnostic Local Fabric; use existing devices first.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Biometric resistance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Privacy concerns or low recognition confidence</w:t>
            </w:r>
          </w:p>
        </w:tc>
        <w:tc>
          <w:tcPr>
            <w:tcW w:type="dxa" w:w="374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Face optional; QR/manual fallback; strong governance.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AI trust gap</w:t>
            </w:r>
          </w:p>
        </w:tc>
        <w:tc>
          <w:tcPr>
            <w:tcW w:type="dxa" w:w="316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Users distrust generated answers</w:t>
            </w:r>
          </w:p>
        </w:tc>
        <w:tc>
          <w:tcPr>
            <w:tcW w:type="dxa" w:w="374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Bounded RAG, citations/evidence, fallback and human escalation.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Overbroad scope</w:t>
            </w:r>
          </w:p>
        </w:tc>
        <w:tc>
          <w:tcPr>
            <w:tcW w:type="dxa" w:w="316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Too many low-value features</w:t>
            </w:r>
          </w:p>
        </w:tc>
        <w:tc>
          <w:tcPr>
            <w:tcW w:type="dxa" w:w="374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Protect the end-to-end lifecycle and defer advanced features.</w:t>
            </w:r>
          </w:p>
        </w:tc>
      </w:tr>
    </w:tbl>
    <w:p>
      <w:pPr>
        <w:spacing w:after="20"/>
      </w:pPr>
    </w:p>
    <w:p>
      <w:pPr>
        <w:pStyle w:val="Heading1"/>
      </w:pPr>
      <w:r>
        <w:t>14. Success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7056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Definition of success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Workflow fit</w:t>
            </w:r>
          </w:p>
        </w:tc>
        <w:tc>
          <w:tcPr>
            <w:tcW w:type="dxa" w:w="70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 centre can run a representative programme end-to-end without spreadsheet handoffs in the demo workflow.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Offline credibility</w:t>
            </w:r>
          </w:p>
        </w:tc>
        <w:tc>
          <w:tcPr>
            <w:tcW w:type="dxa" w:w="7056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Users can continue learning and later synchronize without losing queued progress.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Trust credibility</w:t>
            </w:r>
          </w:p>
        </w:tc>
        <w:tc>
          <w:tcPr>
            <w:tcW w:type="dxa" w:w="70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 certificate can be independently verified and attendance exceptions are auditable.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Employer credibility</w:t>
            </w:r>
          </w:p>
        </w:tc>
        <w:tc>
          <w:tcPr>
            <w:tcW w:type="dxa" w:w="7056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 recruiter can understand why a candidate matches and what evidence supports the match.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Adoption credibility</w:t>
            </w:r>
          </w:p>
        </w:tc>
        <w:tc>
          <w:tcPr>
            <w:tcW w:type="dxa" w:w="7056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The system can run across existing devices without requiring a proprietary hardware purchase.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Government readiness</w:t>
            </w:r>
          </w:p>
        </w:tc>
        <w:tc>
          <w:tcPr>
            <w:tcW w:type="dxa" w:w="7056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External integrations can be added through stable adapters without rewriting the core domain.</w:t>
            </w:r>
          </w:p>
        </w:tc>
      </w:tr>
    </w:tbl>
    <w:p>
      <w:pPr>
        <w:spacing w:after="20"/>
      </w:pPr>
    </w:p>
    <w:p>
      <w:pPr>
        <w:pStyle w:val="Heading1"/>
      </w:pPr>
      <w:r>
        <w:t>15. MRD Traceability to Official 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60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PS requirement</w:t>
            </w:r>
          </w:p>
        </w:tc>
        <w:tc>
          <w:tcPr>
            <w:tcW w:type="dxa" w:w="5328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Market requirement</w:t>
            </w:r>
          </w:p>
        </w:tc>
      </w:tr>
      <w:tr>
        <w:trPr>
          <w:cantSplit/>
        </w:trPr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Online registration / nomination</w:t>
            </w:r>
          </w:p>
        </w:tc>
        <w:tc>
          <w:tcPr>
            <w:tcW w:type="dxa" w:w="532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MR-01, MR-04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Profiles</w:t>
            </w:r>
          </w:p>
        </w:tc>
        <w:tc>
          <w:tcPr>
            <w:tcW w:type="dxa" w:w="532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MR-01, MR-04</w:t>
            </w:r>
          </w:p>
        </w:tc>
      </w:tr>
      <w:tr>
        <w:trPr>
          <w:cantSplit/>
        </w:trPr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Multilingual e-learning</w:t>
            </w:r>
          </w:p>
        </w:tc>
        <w:tc>
          <w:tcPr>
            <w:tcW w:type="dxa" w:w="532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MR-03, MR-07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Face / QR attendance</w:t>
            </w:r>
          </w:p>
        </w:tc>
        <w:tc>
          <w:tcPr>
            <w:tcW w:type="dxa" w:w="532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MR-05, MR-08</w:t>
            </w:r>
          </w:p>
        </w:tc>
      </w:tr>
      <w:tr>
        <w:trPr>
          <w:cantSplit/>
        </w:trPr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Timetable / hostel / logistics</w:t>
            </w:r>
          </w:p>
        </w:tc>
        <w:tc>
          <w:tcPr>
            <w:tcW w:type="dxa" w:w="532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MR-01, MR-04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Assessment / certification</w:t>
            </w:r>
          </w:p>
        </w:tc>
        <w:tc>
          <w:tcPr>
            <w:tcW w:type="dxa" w:w="532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MR-05, MR-08</w:t>
            </w:r>
          </w:p>
        </w:tc>
      </w:tr>
      <w:tr>
        <w:trPr>
          <w:cantSplit/>
        </w:trPr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Skill repository / verification</w:t>
            </w:r>
          </w:p>
        </w:tc>
        <w:tc>
          <w:tcPr>
            <w:tcW w:type="dxa" w:w="532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MR-05, MR-06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Career chatbot</w:t>
            </w:r>
          </w:p>
        </w:tc>
        <w:tc>
          <w:tcPr>
            <w:tcW w:type="dxa" w:w="532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MR-07, MR-10</w:t>
            </w:r>
          </w:p>
        </w:tc>
      </w:tr>
      <w:tr>
        <w:trPr>
          <w:cantSplit/>
        </w:trPr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Employer / recruiter dashboard</w:t>
            </w:r>
          </w:p>
        </w:tc>
        <w:tc>
          <w:tcPr>
            <w:tcW w:type="dxa" w:w="532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MR-06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Offline-accessible learning</w:t>
            </w:r>
          </w:p>
        </w:tc>
        <w:tc>
          <w:tcPr>
            <w:tcW w:type="dxa" w:w="532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MR-02</w:t>
            </w:r>
          </w:p>
        </w:tc>
      </w:tr>
      <w:tr>
        <w:trPr>
          <w:cantSplit/>
        </w:trPr>
        <w:tc>
          <w:tcPr>
            <w:tcW w:type="dxa" w:w="460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Centralized database / analytics</w:t>
            </w:r>
          </w:p>
        </w:tc>
        <w:tc>
          <w:tcPr>
            <w:tcW w:type="dxa" w:w="5328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MR-01, MR-08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Software + Hardware</w:t>
            </w:r>
          </w:p>
        </w:tc>
        <w:tc>
          <w:tcPr>
            <w:tcW w:type="dxa" w:w="5328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MR-03, MR-02 + hardware-agnostic Local Fabric strategy</w:t>
            </w:r>
          </w:p>
        </w:tc>
      </w:tr>
    </w:tbl>
    <w:p>
      <w:pPr>
        <w:spacing w:after="20"/>
      </w:pPr>
    </w:p>
    <w:p>
      <w:pPr>
        <w:pStyle w:val="Heading1"/>
      </w:pPr>
      <w:r>
        <w:t>Evidence &amp; Source Basis</w:t>
      </w:r>
    </w:p>
    <w:p>
      <w:r>
        <w:t>This document is grounded primarily in the official SIH26087 problem statement supplied in the project materials and the research corpus assembled during solution design. NCCT-specific operational facts that were not evidenced in the source set are explicitly marked as assumptions, open validation items, or future integration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Source class</w:t>
            </w:r>
          </w:p>
        </w:tc>
        <w:tc>
          <w:tcPr>
            <w:tcW w:type="dxa" w:w="6912"/>
            <w:shd w:fill="163A5F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/>
                <w:color w:val="FFFFFF"/>
                <w:sz w:val="18"/>
              </w:rPr>
              <w:t>How it is used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Official SIH26087 problem statement</w:t>
            </w:r>
          </w:p>
        </w:tc>
        <w:tc>
          <w:tcPr>
            <w:tcW w:type="dxa" w:w="69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Hard requirement baseline: registration/nomination, profiles, multilingual e-learning, face/QR attendance, timetable/hostel/logistics, LMS/assessment/certification, skill verification, career chatbot, employer/recruiter dashboard, offline learning, centralized database, analytics, software + hardware.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Offline/edge research corpus</w:t>
            </w:r>
          </w:p>
        </w:tc>
        <w:tc>
          <w:tcPr>
            <w:tcW w:type="dxa" w:w="69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Supports local-first learning, local cache, queued writes, append-only events, incremental sync, and low-cost local compute.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Attendance/biometric research corpus</w:t>
            </w:r>
          </w:p>
        </w:tc>
        <w:tc>
          <w:tcPr>
            <w:tcW w:type="dxa" w:w="69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Supports liveness, multimodal attendance, manual exception handling, data minimization, and caution against face-only verification.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Credential/employment research corpus</w:t>
            </w:r>
          </w:p>
        </w:tc>
        <w:tc>
          <w:tcPr>
            <w:tcW w:type="dxa" w:w="6912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Supports signed credentials, verification endpoints, evidence-backed skills, explainable matching, and outcome tracking.</w:t>
            </w:r>
          </w:p>
        </w:tc>
      </w:tr>
      <w:tr>
        <w:trPr>
          <w:cantSplit/>
        </w:trPr>
        <w:tc>
          <w:tcPr>
            <w:tcW w:type="dxa" w:w="3024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NCCT-specific evidence review</w:t>
            </w:r>
          </w:p>
        </w:tc>
        <w:tc>
          <w:tcPr>
            <w:tcW w:type="dxa" w:w="6912"/>
            <w:shd w:fill="F3F7FB"/>
            <w:vAlign w:val="center"/>
            <w:tcBorders>
              <w:top w:val="single" w:sz="4" w:color="D9E5F2"/>
              <w:left w:val="single" w:sz="4" w:color="D9E5F2"/>
              <w:bottom w:val="single" w:sz="4" w:color="D9E5F2"/>
              <w:right w:val="single" w:sz="4" w:color="D9E5F2"/>
            </w:tcBorders>
          </w:tcPr>
          <w:p>
            <w:r/>
            <w:r>
              <w:rPr>
                <w:b w:val="0"/>
                <w:color w:val="17324D"/>
                <w:sz w:val="18"/>
              </w:rPr>
              <w:t>Confirms several details remain unverified: existing NCCT LMS/ERP, exact nomination flow, certificate format, APIs, center infrastructure, and employer roster.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9936"/>
      </w:tblGrid>
      <w:tr>
        <w:trPr>
          <w:cantSplit/>
        </w:trPr>
        <w:tc>
          <w:tcPr>
            <w:tcW w:type="dxa" w:w="5112"/>
            <w:shd w:fill="EA580C"/>
          </w:tcPr>
          <w:p/>
        </w:tc>
        <w:tc>
          <w:tcPr>
            <w:tcW w:type="dxa" w:w="5112"/>
            <w:shd w:fill="FFF7ED"/>
          </w:tcPr>
          <w:p>
            <w:r>
              <w:rPr>
                <w:b/>
                <w:color w:val="EA580C"/>
                <w:sz w:val="19"/>
              </w:rPr>
              <w:t>EVIDENCE DISCIPLINE</w:t>
            </w:r>
            <w:r>
              <w:rPr>
                <w:color w:val="17324D"/>
                <w:sz w:val="19"/>
              </w:rPr>
              <w:br/>
              <w:t>Do not present unverified NCCT workflows, employer rosters, APIs, adoption statistics, or infrastructure inventories as established facts.</w:t>
            </w:r>
          </w:p>
        </w:tc>
      </w:tr>
    </w:tbl>
    <w:p>
      <w:pPr>
        <w:spacing w:after="20"/>
      </w:pPr>
    </w:p>
    <w:p>
      <w:pPr>
        <w:pStyle w:val="Heading1"/>
      </w:pPr>
      <w:r>
        <w:t>16. MRD Acceptance Checklist</w:t>
      </w:r>
    </w:p>
    <w:p>
      <w:pPr>
        <w:pStyle w:val="ListBullet"/>
        <w:spacing w:after="60"/>
      </w:pPr>
      <w:r>
        <w:t>Target ecosystem and stakeholder jobs are defined.</w:t>
      </w:r>
    </w:p>
    <w:p>
      <w:pPr>
        <w:pStyle w:val="ListBullet"/>
        <w:spacing w:after="60"/>
      </w:pPr>
      <w:r>
        <w:t>Market requirements are distinct from technical implementation details in the TRD.</w:t>
      </w:r>
    </w:p>
    <w:p>
      <w:pPr>
        <w:pStyle w:val="ListBullet"/>
        <w:spacing w:after="60"/>
      </w:pPr>
      <w:r>
        <w:t>Alternatives are described without unsupported competitive claims.</w:t>
      </w:r>
    </w:p>
    <w:p>
      <w:pPr>
        <w:pStyle w:val="ListBullet"/>
        <w:spacing w:after="60"/>
      </w:pPr>
      <w:r>
        <w:t>Differentiation is tied to resilience, evidence, interoperability and outcomes.</w:t>
      </w:r>
    </w:p>
    <w:p>
      <w:pPr>
        <w:pStyle w:val="ListBullet"/>
        <w:spacing w:after="60"/>
      </w:pPr>
      <w:r>
        <w:t>Unverified NCCT-specific information is isolated as a validation task.</w:t>
      </w:r>
    </w:p>
    <w:p>
      <w:pPr>
        <w:pStyle w:val="ListBullet"/>
        <w:spacing w:after="60"/>
      </w:pPr>
      <w:r>
        <w:t>Adoption, employer participation and integration risks have explicit responses.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Ministry of Cooperation / NCCT problem context  •  Working design  •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SAHAKAR-LINK  |  MRD  |  SIH26087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