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E3A8A"/>
          <w:sz w:val="32"/>
        </w:rPr>
        <w:t>COMMUNITY LENDING PLATFORM FOR SHARING AND BORROWING HOUSEHOLD RESOURCES</w:t>
      </w:r>
    </w:p>
    <w:p>
      <w:pPr>
        <w:spacing w:before="0" w:after="320"/>
        <w:jc w:val="center"/>
      </w:pPr>
      <w:r>
        <w:rPr>
          <w:rFonts w:ascii="Times New Roman" w:hAnsi="Times New Roman"/>
          <w:i/>
          <w:color w:val="64748B"/>
          <w:sz w:val="22"/>
        </w:rPr>
        <w:t>Topic: Introduction &amp; Project Context — Phase 1 Review</w:t>
      </w:r>
    </w:p>
    <w:p>
      <w:pPr>
        <w:keepNext/>
        <w:spacing w:before="280" w:after="80"/>
      </w:pPr>
      <w:r>
        <w:rPr>
          <w:rFonts w:ascii="Times New Roman" w:hAnsi="Times New Roman"/>
          <w:b/>
          <w:color w:val="1E3A8A"/>
          <w:sz w:val="27"/>
        </w:rPr>
        <w:t>1. Background of the Project Work</w:t>
      </w:r>
    </w:p>
    <w:p>
      <w:pPr>
        <w:spacing w:line="300" w:lineRule="auto" w:after="120"/>
        <w:jc w:val="both"/>
      </w:pPr>
      <w:r>
        <w:rPr>
          <w:rFonts w:ascii="Times New Roman" w:hAnsi="Times New Roman"/>
          <w:sz w:val="24"/>
        </w:rPr>
        <w:t>Over the past several decades, global industrial manufacturing and retail consumerism have operated on a linear 'take-make-dispose' economic model. Within domestic households, this pattern manifests as the redundant private ownership of high-durability physical goods that are required only intermittently. Empirical consumer studies indicate that specialized household resources—such as hammer drills, circular saws, carpet shampooers, high-end camera accessories, board games, and reference literature—possess an active utilization rate of less than 2% across their operational lifetimes. For instance, the average mechanical power drill is operated for a cumulative total of merely 12 to 15 minutes before it is permanently stored or discarded.</w:t>
      </w:r>
    </w:p>
    <w:p>
      <w:pPr>
        <w:spacing w:line="300" w:lineRule="auto" w:after="120"/>
        <w:jc w:val="both"/>
      </w:pPr>
      <w:r>
        <w:rPr>
          <w:rFonts w:ascii="Times New Roman" w:hAnsi="Times New Roman"/>
          <w:sz w:val="24"/>
        </w:rPr>
        <w:t>Despite residential proximity in modern apartment complexes, gated suburban communities, and university residential campuses, localized resource sharing remains remarkably uncommon. Households situated within walking distance of one another frequently make duplicative purchases of identical equipment. The underlying bottleneck is not a lack of shared goodwill, but the absence of a structured, reliable, and secure technological medium designed specifically for community-level resource circulation.</w:t>
      </w:r>
    </w:p>
    <w:p>
      <w:pPr>
        <w:keepNext/>
        <w:spacing w:before="280" w:after="80"/>
      </w:pPr>
      <w:r>
        <w:rPr>
          <w:rFonts w:ascii="Times New Roman" w:hAnsi="Times New Roman"/>
          <w:b/>
          <w:color w:val="1E3A8A"/>
          <w:sz w:val="27"/>
        </w:rPr>
        <w:t>2. Establishing the Project Context</w:t>
      </w:r>
    </w:p>
    <w:p>
      <w:pPr>
        <w:spacing w:line="300" w:lineRule="auto" w:after="120"/>
        <w:jc w:val="both"/>
      </w:pPr>
      <w:r>
        <w:rPr>
          <w:rFonts w:ascii="Times New Roman" w:hAnsi="Times New Roman"/>
          <w:sz w:val="24"/>
        </w:rPr>
        <w:t>While broad peer-to-peer e-commerce platforms (such as OLX, eBay, and Facebook Marketplace) cater to permanent buying and selling, and commercial rental firms focus on expensive industrial plant equipment with punitive security deposits, neither addresses hyper-local, non-monetary household resource sharing. Informal peer-to-peer borrowing attempts conducted through instant messaging channels (e.g., WhatsApp housing groups or neighborhood mailing lists) suffer from severe operational friction:</w:t>
      </w:r>
    </w:p>
    <w:p>
      <w:pPr>
        <w:pStyle w:val="ListBullet"/>
        <w:spacing w:line="288" w:lineRule="auto" w:after="80"/>
        <w:jc w:val="both"/>
      </w:pPr>
      <w:r>
        <w:rPr>
          <w:rFonts w:ascii="Times New Roman" w:hAnsi="Times New Roman"/>
          <w:b/>
          <w:color w:val="1E3A8A"/>
          <w:sz w:val="24"/>
        </w:rPr>
        <w:t xml:space="preserve">Zero Inventory Visibility: </w:t>
      </w:r>
      <w:r>
        <w:rPr>
          <w:rFonts w:ascii="Times New Roman" w:hAnsi="Times New Roman"/>
          <w:sz w:val="24"/>
        </w:rPr>
        <w:t>Residents cannot quickly search or browse what resources are actually available within their residential vicinity at any given moment.</w:t>
      </w:r>
    </w:p>
    <w:p>
      <w:pPr>
        <w:pStyle w:val="ListBullet"/>
        <w:spacing w:line="288" w:lineRule="auto" w:after="80"/>
        <w:jc w:val="both"/>
      </w:pPr>
      <w:r>
        <w:rPr>
          <w:rFonts w:ascii="Times New Roman" w:hAnsi="Times New Roman"/>
          <w:b/>
          <w:color w:val="1E3A8A"/>
          <w:sz w:val="24"/>
        </w:rPr>
        <w:t xml:space="preserve">Ambiguous Condition and Quality: </w:t>
      </w:r>
      <w:r>
        <w:rPr>
          <w:rFonts w:ascii="Times New Roman" w:hAnsi="Times New Roman"/>
          <w:sz w:val="24"/>
        </w:rPr>
        <w:t>Unverified text inquiries lack photographic evidence, leading to misunderstandings regarding the item's operational state and physical condition.</w:t>
      </w:r>
    </w:p>
    <w:p>
      <w:pPr>
        <w:pStyle w:val="ListBullet"/>
        <w:spacing w:line="288" w:lineRule="auto" w:after="80"/>
        <w:jc w:val="both"/>
      </w:pPr>
      <w:r>
        <w:rPr>
          <w:rFonts w:ascii="Times New Roman" w:hAnsi="Times New Roman"/>
          <w:b/>
          <w:color w:val="1E3A8A"/>
          <w:sz w:val="24"/>
        </w:rPr>
        <w:t xml:space="preserve">Absence of Accountability and Tracking: </w:t>
      </w:r>
      <w:r>
        <w:rPr>
          <w:rFonts w:ascii="Times New Roman" w:hAnsi="Times New Roman"/>
          <w:sz w:val="24"/>
        </w:rPr>
        <w:t>Without a dedicated digital record, owners frequently forget which neighbor borrowed their possession, resulting in awkward follow-ups, delayed returns, or permanent loss.</w:t>
      </w:r>
    </w:p>
    <w:p>
      <w:pPr>
        <w:keepNext/>
        <w:spacing w:before="280" w:after="80"/>
      </w:pPr>
      <w:r>
        <w:rPr>
          <w:rFonts w:ascii="Times New Roman" w:hAnsi="Times New Roman"/>
          <w:b/>
          <w:color w:val="1E3A8A"/>
          <w:sz w:val="27"/>
        </w:rPr>
        <w:t>3. Problem Importance &amp; Societal Significance</w:t>
      </w:r>
    </w:p>
    <w:p>
      <w:pPr>
        <w:spacing w:line="300" w:lineRule="auto" w:after="120"/>
        <w:jc w:val="both"/>
      </w:pPr>
      <w:r>
        <w:rPr>
          <w:rFonts w:ascii="Times New Roman" w:hAnsi="Times New Roman"/>
          <w:sz w:val="24"/>
        </w:rPr>
        <w:t>Resolving the household resource underutilization crisis addresses three interconnected dimensions:</w:t>
      </w:r>
    </w:p>
    <w:p>
      <w:pPr>
        <w:pStyle w:val="ListBullet"/>
        <w:spacing w:line="288" w:lineRule="auto" w:after="80"/>
        <w:jc w:val="both"/>
      </w:pPr>
      <w:r>
        <w:rPr>
          <w:rFonts w:ascii="Times New Roman" w:hAnsi="Times New Roman"/>
          <w:b/>
          <w:color w:val="1E3A8A"/>
          <w:sz w:val="24"/>
        </w:rPr>
        <w:t xml:space="preserve">Economic Optimization for Families: </w:t>
      </w:r>
      <w:r>
        <w:rPr>
          <w:rFonts w:ascii="Times New Roman" w:hAnsi="Times New Roman"/>
          <w:sz w:val="24"/>
        </w:rPr>
        <w:t>Household budgets are heavily impacted by inflation and recurring costs. Enabling families to borrow high-utility tools and appliances for single-use tasks eliminates hundreds of dollars in unnecessary capital expenditures each year.</w:t>
      </w:r>
    </w:p>
    <w:p>
      <w:pPr>
        <w:pStyle w:val="ListBullet"/>
        <w:spacing w:line="288" w:lineRule="auto" w:after="80"/>
        <w:jc w:val="both"/>
      </w:pPr>
      <w:r>
        <w:rPr>
          <w:rFonts w:ascii="Times New Roman" w:hAnsi="Times New Roman"/>
          <w:b/>
          <w:color w:val="1E3A8A"/>
          <w:sz w:val="24"/>
        </w:rPr>
        <w:t xml:space="preserve">Environmental &amp; Ecological Sustainability: </w:t>
      </w:r>
      <w:r>
        <w:rPr>
          <w:rFonts w:ascii="Times New Roman" w:hAnsi="Times New Roman"/>
          <w:sz w:val="24"/>
        </w:rPr>
        <w:t>Every manufactured appliance embodies raw material extraction, energy-intensive smelting, packaging plastics, and international transportation emissions. Prolonging the functional lifecycle of existing products through collaborative sharing reduces landfill contributions and directly supports UN Sustainable Development Goal 12 (Responsible Consumption and Production).</w:t>
      </w:r>
    </w:p>
    <w:p>
      <w:pPr>
        <w:pStyle w:val="ListBullet"/>
        <w:spacing w:line="288" w:lineRule="auto" w:after="80"/>
        <w:jc w:val="both"/>
      </w:pPr>
      <w:r>
        <w:rPr>
          <w:rFonts w:ascii="Times New Roman" w:hAnsi="Times New Roman"/>
          <w:b/>
          <w:color w:val="1E3A8A"/>
          <w:sz w:val="24"/>
        </w:rPr>
        <w:t xml:space="preserve">Rebuilding Social Capital and Trust: </w:t>
      </w:r>
      <w:r>
        <w:rPr>
          <w:rFonts w:ascii="Times New Roman" w:hAnsi="Times New Roman"/>
          <w:sz w:val="24"/>
        </w:rPr>
        <w:t>Modern urban lifestyles often lead to neighborhood alienation. A community lending ecosystem creates positive interpersonal interactions, cultivating neighborhood trust, cooperation, and mutual social support.</w:t>
      </w:r>
    </w:p>
    <w:p>
      <w:pPr>
        <w:keepNext/>
        <w:spacing w:before="280" w:after="80"/>
      </w:pPr>
      <w:r>
        <w:rPr>
          <w:rFonts w:ascii="Times New Roman" w:hAnsi="Times New Roman"/>
          <w:b/>
          <w:color w:val="1E3A8A"/>
          <w:sz w:val="27"/>
        </w:rPr>
        <w:t>4. Project Objectives and Scope</w:t>
      </w:r>
    </w:p>
    <w:p>
      <w:pPr>
        <w:spacing w:line="300" w:lineRule="auto" w:after="120"/>
        <w:jc w:val="both"/>
      </w:pPr>
      <w:r>
        <w:rPr>
          <w:rFonts w:ascii="Times New Roman" w:hAnsi="Times New Roman"/>
          <w:sz w:val="24"/>
        </w:rPr>
        <w:t>The primary objective of this project is to architect, implement, and deploy an end-to-end, full-stack Community Lending Platform that establishes a frictionless sharing ecosystem. Specific technical and operational objectives include:</w:t>
      </w:r>
    </w:p>
    <w:p>
      <w:pPr>
        <w:pStyle w:val="ListBullet"/>
        <w:spacing w:line="288" w:lineRule="auto" w:after="80"/>
        <w:jc w:val="both"/>
      </w:pPr>
      <w:r>
        <w:rPr>
          <w:rFonts w:ascii="Times New Roman" w:hAnsi="Times New Roman"/>
          <w:b/>
          <w:color w:val="1E3A8A"/>
          <w:sz w:val="24"/>
        </w:rPr>
        <w:t xml:space="preserve">Centralized Inventory &amp; Media Management: </w:t>
      </w:r>
      <w:r>
        <w:rPr>
          <w:rFonts w:ascii="Times New Roman" w:hAnsi="Times New Roman"/>
          <w:sz w:val="24"/>
        </w:rPr>
        <w:t>Provide users with a seamless facility to list items across categorized domains with secure photographic uploading and server-side validation.</w:t>
      </w:r>
    </w:p>
    <w:p>
      <w:pPr>
        <w:pStyle w:val="ListBullet"/>
        <w:spacing w:line="288" w:lineRule="auto" w:after="80"/>
        <w:jc w:val="both"/>
      </w:pPr>
      <w:r>
        <w:rPr>
          <w:rFonts w:ascii="Times New Roman" w:hAnsi="Times New Roman"/>
          <w:b/>
          <w:color w:val="1E3A8A"/>
          <w:sz w:val="24"/>
        </w:rPr>
        <w:t xml:space="preserve">Real-Time Discovery &amp; Search Engine: </w:t>
      </w:r>
      <w:r>
        <w:rPr>
          <w:rFonts w:ascii="Times New Roman" w:hAnsi="Times New Roman"/>
          <w:sz w:val="24"/>
        </w:rPr>
        <w:t>Incorporate live multi-parameter substring searching and dynamic category filtering so borrowers locate equipment within seconds.</w:t>
      </w:r>
    </w:p>
    <w:p>
      <w:pPr>
        <w:pStyle w:val="ListBullet"/>
        <w:spacing w:line="288" w:lineRule="auto" w:after="80"/>
        <w:jc w:val="both"/>
      </w:pPr>
      <w:r>
        <w:rPr>
          <w:rFonts w:ascii="Times New Roman" w:hAnsi="Times New Roman"/>
          <w:b/>
          <w:color w:val="1E3A8A"/>
          <w:sz w:val="24"/>
        </w:rPr>
        <w:t xml:space="preserve">Deterministic Lending State Machine: </w:t>
      </w:r>
      <w:r>
        <w:rPr>
          <w:rFonts w:ascii="Times New Roman" w:hAnsi="Times New Roman"/>
          <w:sz w:val="24"/>
        </w:rPr>
        <w:t>Implement an automated lifecycle that strictly governs request states (Pending -&gt; Approved -&gt; Lent -&gt; Returned), eliminating concurrent lending conflicts.</w:t>
      </w:r>
    </w:p>
    <w:p>
      <w:pPr>
        <w:pStyle w:val="ListBullet"/>
        <w:spacing w:line="288" w:lineRule="auto" w:after="80"/>
        <w:jc w:val="both"/>
      </w:pPr>
      <w:r>
        <w:rPr>
          <w:rFonts w:ascii="Times New Roman" w:hAnsi="Times New Roman"/>
          <w:b/>
          <w:color w:val="1E3A8A"/>
          <w:sz w:val="24"/>
        </w:rPr>
        <w:t xml:space="preserve">Auditable Ledger &amp; Transaction History: </w:t>
      </w:r>
      <w:r>
        <w:rPr>
          <w:rFonts w:ascii="Times New Roman" w:hAnsi="Times New Roman"/>
          <w:sz w:val="24"/>
        </w:rPr>
        <w:t>Maintain immutable historic records of completed transactions to ensure community accountability.</w:t>
      </w:r>
    </w:p>
    <w:p>
      <w:pPr>
        <w:pStyle w:val="ListBullet"/>
        <w:spacing w:line="288" w:lineRule="auto" w:after="80"/>
        <w:jc w:val="both"/>
      </w:pPr>
      <w:r>
        <w:rPr>
          <w:rFonts w:ascii="Times New Roman" w:hAnsi="Times New Roman"/>
          <w:b/>
          <w:color w:val="1E3A8A"/>
          <w:sz w:val="24"/>
        </w:rPr>
        <w:t xml:space="preserve">Cloud-Native Deployment &amp; REST API: </w:t>
      </w:r>
      <w:r>
        <w:rPr>
          <w:rFonts w:ascii="Times New Roman" w:hAnsi="Times New Roman"/>
          <w:sz w:val="24"/>
        </w:rPr>
        <w:t>Deploy the backend to Render with distributed cloud storage via TiDB Serverless MySQL, while exposing JSON REST endpoints for multi-platform integration.</w:t>
      </w:r>
    </w:p>
    <w:p>
      <w:pPr>
        <w:keepNext/>
        <w:spacing w:before="280" w:after="80"/>
      </w:pPr>
      <w:r>
        <w:rPr>
          <w:rFonts w:ascii="Times New Roman" w:hAnsi="Times New Roman"/>
          <w:b/>
          <w:color w:val="1E3A8A"/>
          <w:sz w:val="27"/>
        </w:rPr>
        <w:t>5. Development Methodology (Agile / Iterative SDLC)</w:t>
      </w:r>
    </w:p>
    <w:p>
      <w:pPr>
        <w:spacing w:line="300" w:lineRule="auto" w:after="120"/>
        <w:jc w:val="both"/>
      </w:pPr>
      <w:r>
        <w:rPr>
          <w:rFonts w:ascii="Times New Roman" w:hAnsi="Times New Roman"/>
          <w:sz w:val="24"/>
        </w:rPr>
        <w:t>To ensure systematic execution, rigorous quality verification, and rapid adaptability, this project follows an Agile Iterative Development Lifecycle, structured across five sequential sprints:</w:t>
      </w:r>
    </w:p>
    <w:p>
      <w:pPr>
        <w:pStyle w:val="ListBullet"/>
        <w:spacing w:line="288" w:lineRule="auto" w:after="80"/>
        <w:jc w:val="both"/>
      </w:pPr>
      <w:r>
        <w:rPr>
          <w:rFonts w:ascii="Times New Roman" w:hAnsi="Times New Roman"/>
          <w:b/>
          <w:color w:val="1E3A8A"/>
          <w:sz w:val="24"/>
        </w:rPr>
        <w:t xml:space="preserve">Phase I: Requirement Engineering &amp; Domain Modeling: </w:t>
      </w:r>
      <w:r>
        <w:rPr>
          <w:rFonts w:ascii="Times New Roman" w:hAnsi="Times New Roman"/>
          <w:sz w:val="24"/>
        </w:rPr>
        <w:t>Stakeholder interview analysis, functional requirement specification, database normalization (3NF), and conceptual UML modeling.</w:t>
      </w:r>
    </w:p>
    <w:p>
      <w:pPr>
        <w:pStyle w:val="ListBullet"/>
        <w:spacing w:line="288" w:lineRule="auto" w:after="80"/>
        <w:jc w:val="both"/>
      </w:pPr>
      <w:r>
        <w:rPr>
          <w:rFonts w:ascii="Times New Roman" w:hAnsi="Times New Roman"/>
          <w:b/>
          <w:color w:val="1E3A8A"/>
          <w:sz w:val="24"/>
        </w:rPr>
        <w:t xml:space="preserve">Phase II: Backend Architecture &amp; Cloud Infrastructure: </w:t>
      </w:r>
      <w:r>
        <w:rPr>
          <w:rFonts w:ascii="Times New Roman" w:hAnsi="Times New Roman"/>
          <w:sz w:val="24"/>
        </w:rPr>
        <w:t>Flask WSGI application setup, secure cryptographic authentication implementation, TiDB Cloud database integration with TLS certificate handling.</w:t>
      </w:r>
    </w:p>
    <w:p>
      <w:pPr>
        <w:pStyle w:val="ListBullet"/>
        <w:spacing w:line="288" w:lineRule="auto" w:after="80"/>
        <w:jc w:val="both"/>
      </w:pPr>
      <w:r>
        <w:rPr>
          <w:rFonts w:ascii="Times New Roman" w:hAnsi="Times New Roman"/>
          <w:b/>
          <w:color w:val="1E3A8A"/>
          <w:sz w:val="24"/>
        </w:rPr>
        <w:t xml:space="preserve">Phase III: Core Engine &amp; Photographic Media Pipeline: </w:t>
      </w:r>
      <w:r>
        <w:rPr>
          <w:rFonts w:ascii="Times New Roman" w:hAnsi="Times New Roman"/>
          <w:sz w:val="24"/>
        </w:rPr>
        <w:t>Implementation of item cataloging, secure multipart file uploading, UUID collision avoidance, and state-machine request workflows.</w:t>
      </w:r>
    </w:p>
    <w:p>
      <w:pPr>
        <w:pStyle w:val="ListBullet"/>
        <w:spacing w:line="288" w:lineRule="auto" w:after="80"/>
        <w:jc w:val="both"/>
      </w:pPr>
      <w:r>
        <w:rPr>
          <w:rFonts w:ascii="Times New Roman" w:hAnsi="Times New Roman"/>
          <w:b/>
          <w:color w:val="1E3A8A"/>
          <w:sz w:val="24"/>
        </w:rPr>
        <w:t xml:space="preserve">Phase IV: Frontend Modernization &amp; Responsive Design: </w:t>
      </w:r>
      <w:r>
        <w:rPr>
          <w:rFonts w:ascii="Times New Roman" w:hAnsi="Times New Roman"/>
          <w:sz w:val="24"/>
        </w:rPr>
        <w:t>Development of responsive HTML5/CSS3 templates, interactive dropzones, live search filters, and mobile-first interface styling.</w:t>
      </w:r>
    </w:p>
    <w:p>
      <w:pPr>
        <w:pStyle w:val="ListBullet"/>
        <w:spacing w:line="288" w:lineRule="auto" w:after="80"/>
        <w:jc w:val="both"/>
      </w:pPr>
      <w:r>
        <w:rPr>
          <w:rFonts w:ascii="Times New Roman" w:hAnsi="Times New Roman"/>
          <w:b/>
          <w:color w:val="1E3A8A"/>
          <w:sz w:val="24"/>
        </w:rPr>
        <w:t xml:space="preserve">Phase V: Quality Assurance, API Integration &amp; Deployment: </w:t>
      </w:r>
      <w:r>
        <w:rPr>
          <w:rFonts w:ascii="Times New Roman" w:hAnsi="Times New Roman"/>
          <w:sz w:val="24"/>
        </w:rPr>
        <w:t>Exposing CORS-compliant REST API controllers, unit and integration testing, and final staging deployment on the Render cloud platform.</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Community Lending Platform — Academic Review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