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1E3A8A"/>
          <w:sz w:val="32"/>
        </w:rPr>
        <w:t>COMMUNITY LENDING PLATFORM FOR SHARING AND BORROWING HOUSEHOLD RESOURCES</w:t>
      </w:r>
    </w:p>
    <w:p>
      <w:pPr>
        <w:spacing w:before="0" w:after="320"/>
        <w:jc w:val="center"/>
      </w:pPr>
      <w:r>
        <w:rPr>
          <w:rFonts w:ascii="Times New Roman" w:hAnsi="Times New Roman"/>
          <w:i/>
          <w:color w:val="64748B"/>
          <w:sz w:val="22"/>
        </w:rPr>
        <w:t>Topic: Analysis and Requirements Specification — Phase 1 Review</w:t>
      </w:r>
    </w:p>
    <w:p>
      <w:pPr>
        <w:keepNext/>
        <w:spacing w:before="280" w:after="80"/>
      </w:pPr>
      <w:r>
        <w:rPr>
          <w:rFonts w:ascii="Times New Roman" w:hAnsi="Times New Roman"/>
          <w:b/>
          <w:color w:val="1E3A8A"/>
          <w:sz w:val="27"/>
        </w:rPr>
        <w:t>1. Problem Analysis &amp; Stakeholder Modeling</w:t>
      </w:r>
    </w:p>
    <w:p>
      <w:pPr>
        <w:spacing w:line="300" w:lineRule="auto" w:after="120"/>
        <w:jc w:val="both"/>
      </w:pPr>
      <w:r>
        <w:rPr>
          <w:rFonts w:ascii="Times New Roman" w:hAnsi="Times New Roman"/>
          <w:sz w:val="24"/>
        </w:rPr>
        <w:t>Systematic problem analysis reveals that informal peer-to-peer sharing breaks down due to three primary vectors: asymmetric information (borrowers do not know what neighbors possess), trust deficits (owners fear property damage or permanent loss), and coordination friction (tedious manual scheduling). To successfully resolve these barriers, the proposed system identifies and models three primary user roles:</w:t>
      </w:r>
    </w:p>
    <w:p>
      <w:pPr>
        <w:pStyle w:val="ListBullet"/>
        <w:spacing w:line="288" w:lineRule="auto" w:after="80"/>
        <w:jc w:val="both"/>
      </w:pPr>
      <w:r>
        <w:rPr>
          <w:rFonts w:ascii="Times New Roman" w:hAnsi="Times New Roman"/>
          <w:b/>
          <w:color w:val="1E3A8A"/>
          <w:sz w:val="24"/>
        </w:rPr>
        <w:t xml:space="preserve">Resource Owner: </w:t>
      </w:r>
      <w:r>
        <w:rPr>
          <w:rFonts w:ascii="Times New Roman" w:hAnsi="Times New Roman"/>
          <w:sz w:val="24"/>
        </w:rPr>
        <w:t>Community member who catalogs physical possessions, attaches photographic verification of condition, reviews incoming borrow requests, and grants lending permissions.</w:t>
      </w:r>
    </w:p>
    <w:p>
      <w:pPr>
        <w:pStyle w:val="ListBullet"/>
        <w:spacing w:line="288" w:lineRule="auto" w:after="80"/>
        <w:jc w:val="both"/>
      </w:pPr>
      <w:r>
        <w:rPr>
          <w:rFonts w:ascii="Times New Roman" w:hAnsi="Times New Roman"/>
          <w:b/>
          <w:color w:val="1E3A8A"/>
          <w:sz w:val="24"/>
        </w:rPr>
        <w:t xml:space="preserve">Resource Borrower: </w:t>
      </w:r>
      <w:r>
        <w:rPr>
          <w:rFonts w:ascii="Times New Roman" w:hAnsi="Times New Roman"/>
          <w:sz w:val="24"/>
        </w:rPr>
        <w:t>Community member who discovers required resources through categorized search, transmits structured requests, coordinates physical pickup, and initiates return acknowledgments.</w:t>
      </w:r>
    </w:p>
    <w:p>
      <w:pPr>
        <w:pStyle w:val="ListBullet"/>
        <w:spacing w:line="288" w:lineRule="auto" w:after="80"/>
        <w:jc w:val="both"/>
      </w:pPr>
      <w:r>
        <w:rPr>
          <w:rFonts w:ascii="Times New Roman" w:hAnsi="Times New Roman"/>
          <w:b/>
          <w:color w:val="1E3A8A"/>
          <w:sz w:val="24"/>
        </w:rPr>
        <w:t xml:space="preserve">System / Administrator: </w:t>
      </w:r>
      <w:r>
        <w:rPr>
          <w:rFonts w:ascii="Times New Roman" w:hAnsi="Times New Roman"/>
          <w:sz w:val="24"/>
        </w:rPr>
        <w:t>Automated supervisory engine maintaining database referential integrity, enforcing cryptographic authentication, managing media storage, and recording completed transactions.</w:t>
      </w:r>
    </w:p>
    <w:p>
      <w:pPr>
        <w:keepNext/>
        <w:spacing w:before="280" w:after="80"/>
      </w:pPr>
      <w:r>
        <w:rPr>
          <w:rFonts w:ascii="Times New Roman" w:hAnsi="Times New Roman"/>
          <w:b/>
          <w:color w:val="1E3A8A"/>
          <w:sz w:val="27"/>
        </w:rPr>
        <w:t>2. Analysis Model in Unified Modeling Language (UML)</w:t>
      </w:r>
    </w:p>
    <w:p>
      <w:pPr>
        <w:spacing w:line="300" w:lineRule="auto" w:after="120"/>
        <w:jc w:val="both"/>
      </w:pPr>
      <w:r>
        <w:rPr>
          <w:rFonts w:ascii="Times New Roman" w:hAnsi="Times New Roman"/>
          <w:sz w:val="24"/>
        </w:rPr>
        <w:t>To formally conceptualize the system dynamics, the analysis model is expressed through behavioral and structural UML specifications:</w:t>
      </w:r>
    </w:p>
    <w:p>
      <w:pPr>
        <w:keepNext/>
        <w:spacing w:before="200" w:after="60"/>
      </w:pPr>
      <w:r>
        <w:rPr>
          <w:rFonts w:ascii="Times New Roman" w:hAnsi="Times New Roman"/>
          <w:b/>
          <w:color w:val="334155"/>
          <w:sz w:val="24"/>
        </w:rPr>
        <w:t>2.1 Tabular Use Case Specification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E3A8A"/>
            <w:tcMar>
              <w:top w:w="120" w:type="dxa"/>
              <w:bottom w:w="120" w:type="dxa"/>
              <w:left w:w="140" w:type="dxa"/>
              <w:right w:w="140" w:type="dxa"/>
            </w:tcMar>
          </w:tcPr>
          <w:p>
            <w:r>
              <w:rPr>
                <w:rFonts w:ascii="Times New Roman" w:hAnsi="Times New Roman"/>
                <w:b/>
                <w:color w:val="FFFFFF"/>
                <w:sz w:val="20"/>
              </w:rPr>
              <w:t>Use Case ID</w:t>
            </w:r>
          </w:p>
        </w:tc>
        <w:tc>
          <w:tcPr>
            <w:tcW w:type="dxa" w:w="2340"/>
            <w:shd w:fill="1E3A8A"/>
            <w:tcMar>
              <w:top w:w="120" w:type="dxa"/>
              <w:bottom w:w="120" w:type="dxa"/>
              <w:left w:w="140" w:type="dxa"/>
              <w:right w:w="140" w:type="dxa"/>
            </w:tcMar>
          </w:tcPr>
          <w:p>
            <w:r>
              <w:rPr>
                <w:rFonts w:ascii="Times New Roman" w:hAnsi="Times New Roman"/>
                <w:b/>
                <w:color w:val="FFFFFF"/>
                <w:sz w:val="20"/>
              </w:rPr>
              <w:t>Use Case Name</w:t>
            </w:r>
          </w:p>
        </w:tc>
        <w:tc>
          <w:tcPr>
            <w:tcW w:type="dxa" w:w="2340"/>
            <w:shd w:fill="1E3A8A"/>
            <w:tcMar>
              <w:top w:w="120" w:type="dxa"/>
              <w:bottom w:w="120" w:type="dxa"/>
              <w:left w:w="140" w:type="dxa"/>
              <w:right w:w="140" w:type="dxa"/>
            </w:tcMar>
          </w:tcPr>
          <w:p>
            <w:r>
              <w:rPr>
                <w:rFonts w:ascii="Times New Roman" w:hAnsi="Times New Roman"/>
                <w:b/>
                <w:color w:val="FFFFFF"/>
                <w:sz w:val="20"/>
              </w:rPr>
              <w:t>Primary Actor</w:t>
            </w:r>
          </w:p>
        </w:tc>
        <w:tc>
          <w:tcPr>
            <w:tcW w:type="dxa" w:w="2340"/>
            <w:shd w:fill="1E3A8A"/>
            <w:tcMar>
              <w:top w:w="120" w:type="dxa"/>
              <w:bottom w:w="120" w:type="dxa"/>
              <w:left w:w="140" w:type="dxa"/>
              <w:right w:w="140" w:type="dxa"/>
            </w:tcMar>
          </w:tcPr>
          <w:p>
            <w:r>
              <w:rPr>
                <w:rFonts w:ascii="Times New Roman" w:hAnsi="Times New Roman"/>
                <w:b/>
                <w:color w:val="FFFFFF"/>
                <w:sz w:val="20"/>
              </w:rPr>
              <w:t>Description &amp; Flow</w:t>
            </w:r>
          </w:p>
        </w:tc>
      </w:tr>
      <w:tr>
        <w:tc>
          <w:tcPr>
            <w:tcW w:type="dxa" w:w="2340"/>
            <w:tcMar>
              <w:top w:w="80" w:type="dxa"/>
              <w:bottom w:w="80" w:type="dxa"/>
              <w:left w:w="100" w:type="dxa"/>
              <w:right w:w="100" w:type="dxa"/>
            </w:tcMar>
          </w:tcPr>
          <w:p>
            <w:r>
              <w:rPr>
                <w:rFonts w:ascii="Times New Roman" w:hAnsi="Times New Roman"/>
                <w:sz w:val="19"/>
              </w:rPr>
              <w:t>UC-01</w:t>
            </w:r>
          </w:p>
        </w:tc>
        <w:tc>
          <w:tcPr>
            <w:tcW w:type="dxa" w:w="2340"/>
            <w:tcMar>
              <w:top w:w="80" w:type="dxa"/>
              <w:bottom w:w="80" w:type="dxa"/>
              <w:left w:w="100" w:type="dxa"/>
              <w:right w:w="100" w:type="dxa"/>
            </w:tcMar>
          </w:tcPr>
          <w:p>
            <w:r>
              <w:rPr>
                <w:rFonts w:ascii="Times New Roman" w:hAnsi="Times New Roman"/>
                <w:sz w:val="19"/>
              </w:rPr>
              <w:t>User Authentication</w:t>
            </w:r>
          </w:p>
        </w:tc>
        <w:tc>
          <w:tcPr>
            <w:tcW w:type="dxa" w:w="2340"/>
            <w:tcMar>
              <w:top w:w="80" w:type="dxa"/>
              <w:bottom w:w="80" w:type="dxa"/>
              <w:left w:w="100" w:type="dxa"/>
              <w:right w:w="100" w:type="dxa"/>
            </w:tcMar>
          </w:tcPr>
          <w:p>
            <w:r>
              <w:rPr>
                <w:rFonts w:ascii="Times New Roman" w:hAnsi="Times New Roman"/>
                <w:sz w:val="19"/>
              </w:rPr>
              <w:t>All Users</w:t>
            </w:r>
          </w:p>
        </w:tc>
        <w:tc>
          <w:tcPr>
            <w:tcW w:type="dxa" w:w="2340"/>
            <w:tcMar>
              <w:top w:w="80" w:type="dxa"/>
              <w:bottom w:w="80" w:type="dxa"/>
              <w:left w:w="100" w:type="dxa"/>
              <w:right w:w="100" w:type="dxa"/>
            </w:tcMar>
          </w:tcPr>
          <w:p>
            <w:r>
              <w:rPr>
                <w:rFonts w:ascii="Times New Roman" w:hAnsi="Times New Roman"/>
                <w:sz w:val="19"/>
              </w:rPr>
              <w:t>Registration with email/password; secure session login and verification.</w:t>
            </w:r>
          </w:p>
        </w:tc>
      </w:tr>
      <w:tr>
        <w:tc>
          <w:tcPr>
            <w:tcW w:type="dxa" w:w="2340"/>
            <w:shd w:fill="F8FAFC"/>
            <w:tcMar>
              <w:top w:w="80" w:type="dxa"/>
              <w:bottom w:w="80" w:type="dxa"/>
              <w:left w:w="100" w:type="dxa"/>
              <w:right w:w="100" w:type="dxa"/>
            </w:tcMar>
          </w:tcPr>
          <w:p>
            <w:r>
              <w:rPr>
                <w:rFonts w:ascii="Times New Roman" w:hAnsi="Times New Roman"/>
                <w:sz w:val="19"/>
              </w:rPr>
              <w:t>UC-02</w:t>
            </w:r>
          </w:p>
        </w:tc>
        <w:tc>
          <w:tcPr>
            <w:tcW w:type="dxa" w:w="2340"/>
            <w:shd w:fill="F8FAFC"/>
            <w:tcMar>
              <w:top w:w="80" w:type="dxa"/>
              <w:bottom w:w="80" w:type="dxa"/>
              <w:left w:w="100" w:type="dxa"/>
              <w:right w:w="100" w:type="dxa"/>
            </w:tcMar>
          </w:tcPr>
          <w:p>
            <w:r>
              <w:rPr>
                <w:rFonts w:ascii="Times New Roman" w:hAnsi="Times New Roman"/>
                <w:sz w:val="19"/>
              </w:rPr>
              <w:t>List Item with Photo</w:t>
            </w:r>
          </w:p>
        </w:tc>
        <w:tc>
          <w:tcPr>
            <w:tcW w:type="dxa" w:w="2340"/>
            <w:shd w:fill="F8FAFC"/>
            <w:tcMar>
              <w:top w:w="80" w:type="dxa"/>
              <w:bottom w:w="80" w:type="dxa"/>
              <w:left w:w="100" w:type="dxa"/>
              <w:right w:w="100" w:type="dxa"/>
            </w:tcMar>
          </w:tcPr>
          <w:p>
            <w:r>
              <w:rPr>
                <w:rFonts w:ascii="Times New Roman" w:hAnsi="Times New Roman"/>
                <w:sz w:val="19"/>
              </w:rPr>
              <w:t>Resource Owner</w:t>
            </w:r>
          </w:p>
        </w:tc>
        <w:tc>
          <w:tcPr>
            <w:tcW w:type="dxa" w:w="2340"/>
            <w:shd w:fill="F8FAFC"/>
            <w:tcMar>
              <w:top w:w="80" w:type="dxa"/>
              <w:bottom w:w="80" w:type="dxa"/>
              <w:left w:w="100" w:type="dxa"/>
              <w:right w:w="100" w:type="dxa"/>
            </w:tcMar>
          </w:tcPr>
          <w:p>
            <w:r>
              <w:rPr>
                <w:rFonts w:ascii="Times New Roman" w:hAnsi="Times New Roman"/>
                <w:sz w:val="19"/>
              </w:rPr>
              <w:t>Submit item title, category, description, and upload JPEG/PNG image asset.</w:t>
            </w:r>
          </w:p>
        </w:tc>
      </w:tr>
      <w:tr>
        <w:tc>
          <w:tcPr>
            <w:tcW w:type="dxa" w:w="2340"/>
            <w:tcMar>
              <w:top w:w="80" w:type="dxa"/>
              <w:bottom w:w="80" w:type="dxa"/>
              <w:left w:w="100" w:type="dxa"/>
              <w:right w:w="100" w:type="dxa"/>
            </w:tcMar>
          </w:tcPr>
          <w:p>
            <w:r>
              <w:rPr>
                <w:rFonts w:ascii="Times New Roman" w:hAnsi="Times New Roman"/>
                <w:sz w:val="19"/>
              </w:rPr>
              <w:t>UC-03</w:t>
            </w:r>
          </w:p>
        </w:tc>
        <w:tc>
          <w:tcPr>
            <w:tcW w:type="dxa" w:w="2340"/>
            <w:tcMar>
              <w:top w:w="80" w:type="dxa"/>
              <w:bottom w:w="80" w:type="dxa"/>
              <w:left w:w="100" w:type="dxa"/>
              <w:right w:w="100" w:type="dxa"/>
            </w:tcMar>
          </w:tcPr>
          <w:p>
            <w:r>
              <w:rPr>
                <w:rFonts w:ascii="Times New Roman" w:hAnsi="Times New Roman"/>
                <w:sz w:val="19"/>
              </w:rPr>
              <w:t>Search &amp; Filter Catalog</w:t>
            </w:r>
          </w:p>
        </w:tc>
        <w:tc>
          <w:tcPr>
            <w:tcW w:type="dxa" w:w="2340"/>
            <w:tcMar>
              <w:top w:w="80" w:type="dxa"/>
              <w:bottom w:w="80" w:type="dxa"/>
              <w:left w:w="100" w:type="dxa"/>
              <w:right w:w="100" w:type="dxa"/>
            </w:tcMar>
          </w:tcPr>
          <w:p>
            <w:r>
              <w:rPr>
                <w:rFonts w:ascii="Times New Roman" w:hAnsi="Times New Roman"/>
                <w:sz w:val="19"/>
              </w:rPr>
              <w:t>Borrower</w:t>
            </w:r>
          </w:p>
        </w:tc>
        <w:tc>
          <w:tcPr>
            <w:tcW w:type="dxa" w:w="2340"/>
            <w:tcMar>
              <w:top w:w="80" w:type="dxa"/>
              <w:bottom w:w="80" w:type="dxa"/>
              <w:left w:w="100" w:type="dxa"/>
              <w:right w:w="100" w:type="dxa"/>
            </w:tcMar>
          </w:tcPr>
          <w:p>
            <w:r>
              <w:rPr>
                <w:rFonts w:ascii="Times New Roman" w:hAnsi="Times New Roman"/>
                <w:sz w:val="19"/>
              </w:rPr>
              <w:t>Execute live keyword search and filter by category (Tools, Books, Sports, etc.).</w:t>
            </w:r>
          </w:p>
        </w:tc>
      </w:tr>
      <w:tr>
        <w:tc>
          <w:tcPr>
            <w:tcW w:type="dxa" w:w="2340"/>
            <w:shd w:fill="F8FAFC"/>
            <w:tcMar>
              <w:top w:w="80" w:type="dxa"/>
              <w:bottom w:w="80" w:type="dxa"/>
              <w:left w:w="100" w:type="dxa"/>
              <w:right w:w="100" w:type="dxa"/>
            </w:tcMar>
          </w:tcPr>
          <w:p>
            <w:r>
              <w:rPr>
                <w:rFonts w:ascii="Times New Roman" w:hAnsi="Times New Roman"/>
                <w:sz w:val="19"/>
              </w:rPr>
              <w:t>UC-04</w:t>
            </w:r>
          </w:p>
        </w:tc>
        <w:tc>
          <w:tcPr>
            <w:tcW w:type="dxa" w:w="2340"/>
            <w:shd w:fill="F8FAFC"/>
            <w:tcMar>
              <w:top w:w="80" w:type="dxa"/>
              <w:bottom w:w="80" w:type="dxa"/>
              <w:left w:w="100" w:type="dxa"/>
              <w:right w:w="100" w:type="dxa"/>
            </w:tcMar>
          </w:tcPr>
          <w:p>
            <w:r>
              <w:rPr>
                <w:rFonts w:ascii="Times New Roman" w:hAnsi="Times New Roman"/>
                <w:sz w:val="19"/>
              </w:rPr>
              <w:t>Submit Borrow Request</w:t>
            </w:r>
          </w:p>
        </w:tc>
        <w:tc>
          <w:tcPr>
            <w:tcW w:type="dxa" w:w="2340"/>
            <w:shd w:fill="F8FAFC"/>
            <w:tcMar>
              <w:top w:w="80" w:type="dxa"/>
              <w:bottom w:w="80" w:type="dxa"/>
              <w:left w:w="100" w:type="dxa"/>
              <w:right w:w="100" w:type="dxa"/>
            </w:tcMar>
          </w:tcPr>
          <w:p>
            <w:r>
              <w:rPr>
                <w:rFonts w:ascii="Times New Roman" w:hAnsi="Times New Roman"/>
                <w:sz w:val="19"/>
              </w:rPr>
              <w:t>Borrower</w:t>
            </w:r>
          </w:p>
        </w:tc>
        <w:tc>
          <w:tcPr>
            <w:tcW w:type="dxa" w:w="2340"/>
            <w:shd w:fill="F8FAFC"/>
            <w:tcMar>
              <w:top w:w="80" w:type="dxa"/>
              <w:bottom w:w="80" w:type="dxa"/>
              <w:left w:w="100" w:type="dxa"/>
              <w:right w:w="100" w:type="dxa"/>
            </w:tcMar>
          </w:tcPr>
          <w:p>
            <w:r>
              <w:rPr>
                <w:rFonts w:ascii="Times New Roman" w:hAnsi="Times New Roman"/>
                <w:sz w:val="19"/>
              </w:rPr>
              <w:t>Transmit borrow request for available item; system validates owner!=borrower.</w:t>
            </w:r>
          </w:p>
        </w:tc>
      </w:tr>
      <w:tr>
        <w:tc>
          <w:tcPr>
            <w:tcW w:type="dxa" w:w="2340"/>
            <w:tcMar>
              <w:top w:w="80" w:type="dxa"/>
              <w:bottom w:w="80" w:type="dxa"/>
              <w:left w:w="100" w:type="dxa"/>
              <w:right w:w="100" w:type="dxa"/>
            </w:tcMar>
          </w:tcPr>
          <w:p>
            <w:r>
              <w:rPr>
                <w:rFonts w:ascii="Times New Roman" w:hAnsi="Times New Roman"/>
                <w:sz w:val="19"/>
              </w:rPr>
              <w:t>UC-05</w:t>
            </w:r>
          </w:p>
        </w:tc>
        <w:tc>
          <w:tcPr>
            <w:tcW w:type="dxa" w:w="2340"/>
            <w:tcMar>
              <w:top w:w="80" w:type="dxa"/>
              <w:bottom w:w="80" w:type="dxa"/>
              <w:left w:w="100" w:type="dxa"/>
              <w:right w:w="100" w:type="dxa"/>
            </w:tcMar>
          </w:tcPr>
          <w:p>
            <w:r>
              <w:rPr>
                <w:rFonts w:ascii="Times New Roman" w:hAnsi="Times New Roman"/>
                <w:sz w:val="19"/>
              </w:rPr>
              <w:t>Approve/Reject Request</w:t>
            </w:r>
          </w:p>
        </w:tc>
        <w:tc>
          <w:tcPr>
            <w:tcW w:type="dxa" w:w="2340"/>
            <w:tcMar>
              <w:top w:w="80" w:type="dxa"/>
              <w:bottom w:w="80" w:type="dxa"/>
              <w:left w:w="100" w:type="dxa"/>
              <w:right w:w="100" w:type="dxa"/>
            </w:tcMar>
          </w:tcPr>
          <w:p>
            <w:r>
              <w:rPr>
                <w:rFonts w:ascii="Times New Roman" w:hAnsi="Times New Roman"/>
                <w:sz w:val="19"/>
              </w:rPr>
              <w:t>Resource Owner</w:t>
            </w:r>
          </w:p>
        </w:tc>
        <w:tc>
          <w:tcPr>
            <w:tcW w:type="dxa" w:w="2340"/>
            <w:tcMar>
              <w:top w:w="80" w:type="dxa"/>
              <w:bottom w:w="80" w:type="dxa"/>
              <w:left w:w="100" w:type="dxa"/>
              <w:right w:w="100" w:type="dxa"/>
            </w:tcMar>
          </w:tcPr>
          <w:p>
            <w:r>
              <w:rPr>
                <w:rFonts w:ascii="Times New Roman" w:hAnsi="Times New Roman"/>
                <w:sz w:val="19"/>
              </w:rPr>
              <w:t>Owner evaluates request; Approval transitions request to Approved &amp; item to Lent.</w:t>
            </w:r>
          </w:p>
        </w:tc>
      </w:tr>
      <w:tr>
        <w:tc>
          <w:tcPr>
            <w:tcW w:type="dxa" w:w="2340"/>
            <w:shd w:fill="F8FAFC"/>
            <w:tcMar>
              <w:top w:w="80" w:type="dxa"/>
              <w:bottom w:w="80" w:type="dxa"/>
              <w:left w:w="100" w:type="dxa"/>
              <w:right w:w="100" w:type="dxa"/>
            </w:tcMar>
          </w:tcPr>
          <w:p>
            <w:r>
              <w:rPr>
                <w:rFonts w:ascii="Times New Roman" w:hAnsi="Times New Roman"/>
                <w:sz w:val="19"/>
              </w:rPr>
              <w:t>UC-06</w:t>
            </w:r>
          </w:p>
        </w:tc>
        <w:tc>
          <w:tcPr>
            <w:tcW w:type="dxa" w:w="2340"/>
            <w:shd w:fill="F8FAFC"/>
            <w:tcMar>
              <w:top w:w="80" w:type="dxa"/>
              <w:bottom w:w="80" w:type="dxa"/>
              <w:left w:w="100" w:type="dxa"/>
              <w:right w:w="100" w:type="dxa"/>
            </w:tcMar>
          </w:tcPr>
          <w:p>
            <w:r>
              <w:rPr>
                <w:rFonts w:ascii="Times New Roman" w:hAnsi="Times New Roman"/>
                <w:sz w:val="19"/>
              </w:rPr>
              <w:t>Process Return &amp; Log</w:t>
            </w:r>
          </w:p>
        </w:tc>
        <w:tc>
          <w:tcPr>
            <w:tcW w:type="dxa" w:w="2340"/>
            <w:shd w:fill="F8FAFC"/>
            <w:tcMar>
              <w:top w:w="80" w:type="dxa"/>
              <w:bottom w:w="80" w:type="dxa"/>
              <w:left w:w="100" w:type="dxa"/>
              <w:right w:w="100" w:type="dxa"/>
            </w:tcMar>
          </w:tcPr>
          <w:p>
            <w:r>
              <w:rPr>
                <w:rFonts w:ascii="Times New Roman" w:hAnsi="Times New Roman"/>
                <w:sz w:val="19"/>
              </w:rPr>
              <w:t>Borrower / Owner</w:t>
            </w:r>
          </w:p>
        </w:tc>
        <w:tc>
          <w:tcPr>
            <w:tcW w:type="dxa" w:w="2340"/>
            <w:shd w:fill="F8FAFC"/>
            <w:tcMar>
              <w:top w:w="80" w:type="dxa"/>
              <w:bottom w:w="80" w:type="dxa"/>
              <w:left w:w="100" w:type="dxa"/>
              <w:right w:w="100" w:type="dxa"/>
            </w:tcMar>
          </w:tcPr>
          <w:p>
            <w:r>
              <w:rPr>
                <w:rFonts w:ascii="Times New Roman" w:hAnsi="Times New Roman"/>
                <w:sz w:val="19"/>
              </w:rPr>
              <w:t>Borrower clicks return; item restored to Available; transaction permanently archived.</w:t>
            </w:r>
          </w:p>
        </w:tc>
      </w:tr>
    </w:tbl>
    <w:p>
      <w:pPr>
        <w:keepNext/>
        <w:spacing w:before="200" w:after="60"/>
      </w:pPr>
      <w:r>
        <w:rPr>
          <w:rFonts w:ascii="Times New Roman" w:hAnsi="Times New Roman"/>
          <w:b/>
          <w:color w:val="334155"/>
          <w:sz w:val="24"/>
        </w:rPr>
        <w:t>2.2 State Transition Analysis (Lending Lifecycle)</w:t>
      </w:r>
    </w:p>
    <w:p>
      <w:pPr>
        <w:spacing w:line="300" w:lineRule="auto" w:after="120"/>
        <w:jc w:val="both"/>
      </w:pPr>
      <w:r>
        <w:rPr>
          <w:rFonts w:ascii="Times New Roman" w:hAnsi="Times New Roman"/>
          <w:sz w:val="24"/>
        </w:rPr>
        <w:t>The lending request lifecycle is governed by an atomic state transition model to prevent race conditions:</w:t>
      </w:r>
    </w:p>
    <w:p>
      <w:pPr>
        <w:pStyle w:val="ListBullet"/>
        <w:spacing w:line="288" w:lineRule="auto" w:after="80"/>
        <w:jc w:val="both"/>
      </w:pPr>
      <w:r>
        <w:rPr>
          <w:rFonts w:ascii="Times New Roman" w:hAnsi="Times New Roman"/>
          <w:b/>
          <w:color w:val="1E3A8A"/>
          <w:sz w:val="24"/>
        </w:rPr>
        <w:t xml:space="preserve">State: Initial: </w:t>
      </w:r>
      <w:r>
        <w:rPr>
          <w:rFonts w:ascii="Times New Roman" w:hAnsi="Times New Roman"/>
          <w:sz w:val="24"/>
        </w:rPr>
        <w:t>Item is created with status = 'Available'. No active requests.</w:t>
      </w:r>
    </w:p>
    <w:p>
      <w:pPr>
        <w:pStyle w:val="ListBullet"/>
        <w:spacing w:line="288" w:lineRule="auto" w:after="80"/>
        <w:jc w:val="both"/>
      </w:pPr>
      <w:r>
        <w:rPr>
          <w:rFonts w:ascii="Times New Roman" w:hAnsi="Times New Roman"/>
          <w:b/>
          <w:color w:val="1E3A8A"/>
          <w:sz w:val="24"/>
        </w:rPr>
        <w:t xml:space="preserve">State: Pending: </w:t>
      </w:r>
      <w:r>
        <w:rPr>
          <w:rFonts w:ascii="Times New Roman" w:hAnsi="Times New Roman"/>
          <w:sz w:val="24"/>
        </w:rPr>
        <w:t>Borrower submits request. Request record generated with status = 'Pending'. Item remains 'Available' to view, but duplicate requests from same user are prohibited.</w:t>
      </w:r>
    </w:p>
    <w:p>
      <w:pPr>
        <w:pStyle w:val="ListBullet"/>
        <w:spacing w:line="288" w:lineRule="auto" w:after="80"/>
        <w:jc w:val="both"/>
      </w:pPr>
      <w:r>
        <w:rPr>
          <w:rFonts w:ascii="Times New Roman" w:hAnsi="Times New Roman"/>
          <w:b/>
          <w:color w:val="1E3A8A"/>
          <w:sz w:val="24"/>
        </w:rPr>
        <w:t xml:space="preserve">State: Approved / Lent: </w:t>
      </w:r>
      <w:r>
        <w:rPr>
          <w:rFonts w:ascii="Times New Roman" w:hAnsi="Times New Roman"/>
          <w:sz w:val="24"/>
        </w:rPr>
        <w:t>Owner approves. Request transitions to 'Approved'. Item status atomically flips to 'Lent'. All other concurrent pending requests for this item are placed on hold.</w:t>
      </w:r>
    </w:p>
    <w:p>
      <w:pPr>
        <w:pStyle w:val="ListBullet"/>
        <w:spacing w:line="288" w:lineRule="auto" w:after="80"/>
        <w:jc w:val="both"/>
      </w:pPr>
      <w:r>
        <w:rPr>
          <w:rFonts w:ascii="Times New Roman" w:hAnsi="Times New Roman"/>
          <w:b/>
          <w:color w:val="1E3A8A"/>
          <w:sz w:val="24"/>
        </w:rPr>
        <w:t xml:space="preserve">State: Returned: </w:t>
      </w:r>
      <w:r>
        <w:rPr>
          <w:rFonts w:ascii="Times New Roman" w:hAnsi="Times New Roman"/>
          <w:sz w:val="24"/>
        </w:rPr>
        <w:t>Borrower completes usage and marks item as returned. Request status transitions to 'Returned'. Item availability resets to 'Available'. Transaction is written to the historical ledger.</w:t>
      </w:r>
    </w:p>
    <w:p>
      <w:pPr>
        <w:keepNext/>
        <w:spacing w:before="280" w:after="80"/>
      </w:pPr>
      <w:r>
        <w:rPr>
          <w:rFonts w:ascii="Times New Roman" w:hAnsi="Times New Roman"/>
          <w:b/>
          <w:color w:val="1E3A8A"/>
          <w:sz w:val="27"/>
        </w:rPr>
        <w:t>3. System-Level Requirements</w:t>
      </w:r>
    </w:p>
    <w:p>
      <w:pPr>
        <w:spacing w:line="300" w:lineRule="auto" w:after="120"/>
        <w:jc w:val="both"/>
      </w:pPr>
      <w:r>
        <w:rPr>
          <w:rFonts w:ascii="Times New Roman" w:hAnsi="Times New Roman"/>
          <w:sz w:val="24"/>
        </w:rPr>
        <w:t>System-level requirements govern environmental, infrastructural, and deployment constraints:</w:t>
      </w:r>
    </w:p>
    <w:p>
      <w:pPr>
        <w:pStyle w:val="ListBullet"/>
        <w:spacing w:line="288" w:lineRule="auto" w:after="80"/>
        <w:jc w:val="both"/>
      </w:pPr>
      <w:r>
        <w:rPr>
          <w:rFonts w:ascii="Times New Roman" w:hAnsi="Times New Roman"/>
          <w:b/>
          <w:color w:val="1E3A8A"/>
          <w:sz w:val="24"/>
        </w:rPr>
        <w:t xml:space="preserve">Cloud Infrastructure: </w:t>
      </w:r>
      <w:r>
        <w:rPr>
          <w:rFonts w:ascii="Times New Roman" w:hAnsi="Times New Roman"/>
          <w:sz w:val="24"/>
        </w:rPr>
        <w:t>The platform must execute within a containerized Linux cloud environment (Render Web Services) driven by WSGI production workers (Gunicorn).</w:t>
      </w:r>
    </w:p>
    <w:p>
      <w:pPr>
        <w:pStyle w:val="ListBullet"/>
        <w:spacing w:line="288" w:lineRule="auto" w:after="80"/>
        <w:jc w:val="both"/>
      </w:pPr>
      <w:r>
        <w:rPr>
          <w:rFonts w:ascii="Times New Roman" w:hAnsi="Times New Roman"/>
          <w:b/>
          <w:color w:val="1E3A8A"/>
          <w:sz w:val="24"/>
        </w:rPr>
        <w:t xml:space="preserve">Database Connectivity: </w:t>
      </w:r>
      <w:r>
        <w:rPr>
          <w:rFonts w:ascii="Times New Roman" w:hAnsi="Times New Roman"/>
          <w:sz w:val="24"/>
        </w:rPr>
        <w:t>Database communication must take place over distributed Cloud MySQL (TiDB Serverless) utilizing port 4000 secured with TLS 1.2/1.3 cryptographic certificates.</w:t>
      </w:r>
    </w:p>
    <w:p>
      <w:pPr>
        <w:pStyle w:val="ListBullet"/>
        <w:spacing w:line="288" w:lineRule="auto" w:after="80"/>
        <w:jc w:val="both"/>
      </w:pPr>
      <w:r>
        <w:rPr>
          <w:rFonts w:ascii="Times New Roman" w:hAnsi="Times New Roman"/>
          <w:b/>
          <w:color w:val="1E3A8A"/>
          <w:sz w:val="24"/>
        </w:rPr>
        <w:t xml:space="preserve">Stateless API Design: </w:t>
      </w:r>
      <w:r>
        <w:rPr>
          <w:rFonts w:ascii="Times New Roman" w:hAnsi="Times New Roman"/>
          <w:sz w:val="24"/>
        </w:rPr>
        <w:t>RESTful controllers must be stateless, receiving credentials via session tokens or custom request headers, enabling independent horizontal scaling.</w:t>
      </w:r>
    </w:p>
    <w:p>
      <w:pPr>
        <w:pStyle w:val="ListBullet"/>
        <w:spacing w:line="288" w:lineRule="auto" w:after="80"/>
        <w:jc w:val="both"/>
      </w:pPr>
      <w:r>
        <w:rPr>
          <w:rFonts w:ascii="Times New Roman" w:hAnsi="Times New Roman"/>
          <w:b/>
          <w:color w:val="1E3A8A"/>
          <w:sz w:val="24"/>
        </w:rPr>
        <w:t xml:space="preserve">Media File Storage: </w:t>
      </w:r>
      <w:r>
        <w:rPr>
          <w:rFonts w:ascii="Times New Roman" w:hAnsi="Times New Roman"/>
          <w:sz w:val="24"/>
        </w:rPr>
        <w:t>File storage subsystem must support multipart/form-data payloads, validating MIME types and isolating stored static assets with collision-proof naming conventions.</w:t>
      </w:r>
    </w:p>
    <w:p>
      <w:pPr>
        <w:keepNext/>
        <w:spacing w:before="280" w:after="80"/>
      </w:pPr>
      <w:r>
        <w:rPr>
          <w:rFonts w:ascii="Times New Roman" w:hAnsi="Times New Roman"/>
          <w:b/>
          <w:color w:val="1E3A8A"/>
          <w:sz w:val="27"/>
        </w:rPr>
        <w:t>4. Software-Level Requirements (SRS)</w:t>
      </w:r>
    </w:p>
    <w:p>
      <w:pPr>
        <w:spacing w:line="300" w:lineRule="auto" w:after="120"/>
        <w:jc w:val="both"/>
      </w:pPr>
      <w:r>
        <w:rPr>
          <w:rFonts w:ascii="Times New Roman" w:hAnsi="Times New Roman"/>
          <w:sz w:val="24"/>
        </w:rPr>
        <w:t>Software requirements describe exact functional capabilities and quality standards:</w:t>
      </w:r>
    </w:p>
    <w:p>
      <w:pPr>
        <w:keepNext/>
        <w:spacing w:before="200" w:after="60"/>
      </w:pPr>
      <w:r>
        <w:rPr>
          <w:rFonts w:ascii="Times New Roman" w:hAnsi="Times New Roman"/>
          <w:b/>
          <w:color w:val="334155"/>
          <w:sz w:val="24"/>
        </w:rPr>
        <w:t>4.1 Functional Requirements Specification (FRS)</w:t>
      </w:r>
    </w:p>
    <w:p>
      <w:pPr>
        <w:pStyle w:val="ListBullet"/>
        <w:spacing w:line="288" w:lineRule="auto" w:after="80"/>
        <w:jc w:val="both"/>
      </w:pPr>
      <w:r>
        <w:rPr>
          <w:rFonts w:ascii="Times New Roman" w:hAnsi="Times New Roman"/>
          <w:b/>
          <w:color w:val="1E3A8A"/>
          <w:sz w:val="24"/>
        </w:rPr>
        <w:t xml:space="preserve">FR-01 (Account Management): </w:t>
      </w:r>
      <w:r>
        <w:rPr>
          <w:rFonts w:ascii="Times New Roman" w:hAnsi="Times New Roman"/>
          <w:sz w:val="24"/>
        </w:rPr>
        <w:t>System shall allow registration with unique email, full name, phone number, and bcrypt-salted hashed password.</w:t>
      </w:r>
    </w:p>
    <w:p>
      <w:pPr>
        <w:pStyle w:val="ListBullet"/>
        <w:spacing w:line="288" w:lineRule="auto" w:after="80"/>
        <w:jc w:val="both"/>
      </w:pPr>
      <w:r>
        <w:rPr>
          <w:rFonts w:ascii="Times New Roman" w:hAnsi="Times New Roman"/>
          <w:b/>
          <w:color w:val="1E3A8A"/>
          <w:sz w:val="24"/>
        </w:rPr>
        <w:t xml:space="preserve">FR-02 (Catalog &amp; Upload Engine): </w:t>
      </w:r>
      <w:r>
        <w:rPr>
          <w:rFonts w:ascii="Times New Roman" w:hAnsi="Times New Roman"/>
          <w:sz w:val="24"/>
        </w:rPr>
        <w:t>System shall allow authenticated users to create listings with title, category, description, and optional photo attachment (max 5MB, format: PNG, JPG, JPEG, WEBP).</w:t>
      </w:r>
    </w:p>
    <w:p>
      <w:pPr>
        <w:pStyle w:val="ListBullet"/>
        <w:spacing w:line="288" w:lineRule="auto" w:after="80"/>
        <w:jc w:val="both"/>
      </w:pPr>
      <w:r>
        <w:rPr>
          <w:rFonts w:ascii="Times New Roman" w:hAnsi="Times New Roman"/>
          <w:b/>
          <w:color w:val="1E3A8A"/>
          <w:sz w:val="24"/>
        </w:rPr>
        <w:t xml:space="preserve">FR-03 (Discovery Engine): </w:t>
      </w:r>
      <w:r>
        <w:rPr>
          <w:rFonts w:ascii="Times New Roman" w:hAnsi="Times New Roman"/>
          <w:sz w:val="24"/>
        </w:rPr>
        <w:t>System shall return real-time filtered results matching query substrings across item names and descriptions, combinable with category filters.</w:t>
      </w:r>
    </w:p>
    <w:p>
      <w:pPr>
        <w:pStyle w:val="ListBullet"/>
        <w:spacing w:line="288" w:lineRule="auto" w:after="80"/>
        <w:jc w:val="both"/>
      </w:pPr>
      <w:r>
        <w:rPr>
          <w:rFonts w:ascii="Times New Roman" w:hAnsi="Times New Roman"/>
          <w:b/>
          <w:color w:val="1E3A8A"/>
          <w:sz w:val="24"/>
        </w:rPr>
        <w:t xml:space="preserve">FR-04 (Lending State Control): </w:t>
      </w:r>
      <w:r>
        <w:rPr>
          <w:rFonts w:ascii="Times New Roman" w:hAnsi="Times New Roman"/>
          <w:sz w:val="24"/>
        </w:rPr>
        <w:t>System shall enforce ownership boundary checks (owners cannot borrow self-owned items) and maintain atomic status updates upon request approval and return.</w:t>
      </w:r>
    </w:p>
    <w:p>
      <w:pPr>
        <w:pStyle w:val="ListBullet"/>
        <w:spacing w:line="288" w:lineRule="auto" w:after="80"/>
        <w:jc w:val="both"/>
      </w:pPr>
      <w:r>
        <w:rPr>
          <w:rFonts w:ascii="Times New Roman" w:hAnsi="Times New Roman"/>
          <w:b/>
          <w:color w:val="1E3A8A"/>
          <w:sz w:val="24"/>
        </w:rPr>
        <w:t xml:space="preserve">FR-05 (Historical Audit Ledger): </w:t>
      </w:r>
      <w:r>
        <w:rPr>
          <w:rFonts w:ascii="Times New Roman" w:hAnsi="Times New Roman"/>
          <w:sz w:val="24"/>
        </w:rPr>
        <w:t>System shall permanently archive all completed transactions, recording item name, category, lender name, borrower name, and completion timestamps.</w:t>
      </w:r>
    </w:p>
    <w:p>
      <w:pPr>
        <w:keepNext/>
        <w:spacing w:before="200" w:after="60"/>
      </w:pPr>
      <w:r>
        <w:rPr>
          <w:rFonts w:ascii="Times New Roman" w:hAnsi="Times New Roman"/>
          <w:b/>
          <w:color w:val="334155"/>
          <w:sz w:val="24"/>
        </w:rPr>
        <w:t>4.2 Non-Functional Requirements Specification (NFRS)</w:t>
      </w:r>
    </w:p>
    <w:p>
      <w:pPr>
        <w:pStyle w:val="ListBullet"/>
        <w:spacing w:line="288" w:lineRule="auto" w:after="80"/>
        <w:jc w:val="both"/>
      </w:pPr>
      <w:r>
        <w:rPr>
          <w:rFonts w:ascii="Times New Roman" w:hAnsi="Times New Roman"/>
          <w:b/>
          <w:color w:val="1E3A8A"/>
          <w:sz w:val="24"/>
        </w:rPr>
        <w:t xml:space="preserve">NFR-01 (Security): </w:t>
      </w:r>
      <w:r>
        <w:rPr>
          <w:rFonts w:ascii="Times New Roman" w:hAnsi="Times New Roman"/>
          <w:sz w:val="24"/>
        </w:rPr>
        <w:t>Zero plain-text password storage; parameterized SQL queries against all endpoints to eliminate SQL injection; escaping of all dynamic HTML outputs to neutralize Cross-Site Scripting (XSS).</w:t>
      </w:r>
    </w:p>
    <w:p>
      <w:pPr>
        <w:pStyle w:val="ListBullet"/>
        <w:spacing w:line="288" w:lineRule="auto" w:after="80"/>
        <w:jc w:val="both"/>
      </w:pPr>
      <w:r>
        <w:rPr>
          <w:rFonts w:ascii="Times New Roman" w:hAnsi="Times New Roman"/>
          <w:b/>
          <w:color w:val="1E3A8A"/>
          <w:sz w:val="24"/>
        </w:rPr>
        <w:t xml:space="preserve">NFR-02 (Performance &amp; Latency): </w:t>
      </w:r>
      <w:r>
        <w:rPr>
          <w:rFonts w:ascii="Times New Roman" w:hAnsi="Times New Roman"/>
          <w:sz w:val="24"/>
        </w:rPr>
        <w:t>Average server response latency under 350ms for catalog queries; CSS and static asset caching; efficient database indexing on foreign keys (owner_id, item_id, borrower_id).</w:t>
      </w:r>
    </w:p>
    <w:p>
      <w:pPr>
        <w:pStyle w:val="ListBullet"/>
        <w:spacing w:line="288" w:lineRule="auto" w:after="80"/>
        <w:jc w:val="both"/>
      </w:pPr>
      <w:r>
        <w:rPr>
          <w:rFonts w:ascii="Times New Roman" w:hAnsi="Times New Roman"/>
          <w:b/>
          <w:color w:val="1E3A8A"/>
          <w:sz w:val="24"/>
        </w:rPr>
        <w:t xml:space="preserve">NFR-03 (Reliability &amp; Recovery): </w:t>
      </w:r>
      <w:r>
        <w:rPr>
          <w:rFonts w:ascii="Times New Roman" w:hAnsi="Times New Roman"/>
          <w:sz w:val="24"/>
        </w:rPr>
        <w:t>Automated database reconnection pool with dynamic Linux SSL certificate discovery to recover from transient cloud network drops.</w:t>
      </w:r>
    </w:p>
    <w:p>
      <w:pPr>
        <w:pStyle w:val="ListBullet"/>
        <w:spacing w:line="288" w:lineRule="auto" w:after="80"/>
        <w:jc w:val="both"/>
      </w:pPr>
      <w:r>
        <w:rPr>
          <w:rFonts w:ascii="Times New Roman" w:hAnsi="Times New Roman"/>
          <w:b/>
          <w:color w:val="1E3A8A"/>
          <w:sz w:val="24"/>
        </w:rPr>
        <w:t xml:space="preserve">NFR-04 (Responsive Usability): </w:t>
      </w:r>
      <w:r>
        <w:rPr>
          <w:rFonts w:ascii="Times New Roman" w:hAnsi="Times New Roman"/>
          <w:sz w:val="24"/>
        </w:rPr>
        <w:t>Responsive design complying with WCAG contrast guidelines, rendering flawlessly on mobile screens (360px) through desktop monitors (1920px).</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17"/>
      </w:rPr>
      <w:t>Community Lending Platform — Academic Review Phase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