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Times New Roman" w:hAnsi="Times New Roman"/>
          <w:b/>
          <w:color w:val="1E3A8A"/>
          <w:sz w:val="32"/>
        </w:rPr>
        <w:t>COMMUNITY LENDING PLATFORM FOR SHARING AND BORROWING HOUSEHOLD RESOURCES</w:t>
      </w:r>
    </w:p>
    <w:p>
      <w:pPr>
        <w:spacing w:before="0" w:after="320"/>
        <w:jc w:val="center"/>
      </w:pPr>
      <w:r>
        <w:rPr>
          <w:rFonts w:ascii="Times New Roman" w:hAnsi="Times New Roman"/>
          <w:i/>
          <w:color w:val="64748B"/>
          <w:sz w:val="22"/>
        </w:rPr>
        <w:t>Topic: System Architecture &amp; Modules Description — Phase 1 Review</w:t>
      </w:r>
    </w:p>
    <w:p>
      <w:pPr>
        <w:keepNext/>
        <w:spacing w:before="280" w:after="80"/>
      </w:pPr>
      <w:r>
        <w:rPr>
          <w:rFonts w:ascii="Times New Roman" w:hAnsi="Times New Roman"/>
          <w:b/>
          <w:color w:val="1E3A8A"/>
          <w:sz w:val="27"/>
        </w:rPr>
        <w:t>1. Overview of Modular Architecture</w:t>
      </w:r>
    </w:p>
    <w:p>
      <w:pPr>
        <w:spacing w:line="300" w:lineRule="auto" w:after="120"/>
        <w:jc w:val="both"/>
      </w:pPr>
      <w:r>
        <w:rPr>
          <w:rFonts w:ascii="Times New Roman" w:hAnsi="Times New Roman"/>
          <w:sz w:val="24"/>
        </w:rPr>
        <w:t>The Community Lending Platform is engineered following a modular, decoupled architecture adhering to the Model-View-Controller (MVC) and REST service design patterns. Decomposition into distinct functional modules ensures separation of concerns, high cohesion, low coupling, maintainability, and horizontal scalability. The system comprises five primary operational modules:</w:t>
      </w:r>
    </w:p>
    <w:p>
      <w:pPr>
        <w:keepNext/>
        <w:spacing w:before="280" w:after="80"/>
      </w:pPr>
      <w:r>
        <w:rPr>
          <w:rFonts w:ascii="Times New Roman" w:hAnsi="Times New Roman"/>
          <w:b/>
          <w:color w:val="1E3A8A"/>
          <w:sz w:val="27"/>
        </w:rPr>
        <w:t>2. Detailed Description of System Modules</w:t>
      </w:r>
    </w:p>
    <w:p>
      <w:pPr>
        <w:keepNext/>
        <w:spacing w:before="200" w:after="60"/>
      </w:pPr>
      <w:r>
        <w:rPr>
          <w:rFonts w:ascii="Times New Roman" w:hAnsi="Times New Roman"/>
          <w:b/>
          <w:color w:val="334155"/>
          <w:sz w:val="24"/>
        </w:rPr>
        <w:t>2.1 Module 1: User Authentication &amp; Profile Security Module</w:t>
      </w:r>
    </w:p>
    <w:p>
      <w:pPr>
        <w:spacing w:line="300" w:lineRule="auto" w:after="120"/>
        <w:jc w:val="both"/>
      </w:pPr>
      <w:r>
        <w:rPr>
          <w:rFonts w:ascii="Times New Roman" w:hAnsi="Times New Roman"/>
          <w:b/>
          <w:sz w:val="24"/>
        </w:rPr>
        <w:t xml:space="preserve">Purpose &amp; Scope: </w:t>
      </w:r>
      <w:r>
        <w:rPr>
          <w:rFonts w:ascii="Times New Roman" w:hAnsi="Times New Roman"/>
          <w:sz w:val="24"/>
        </w:rPr>
        <w:t>The Authentication and Profile Management Module establishes the foundational identity and security perimeter of the platform. It handles user onboarding, session validation, and account metrics.</w:t>
      </w:r>
    </w:p>
    <w:p>
      <w:pPr>
        <w:spacing w:line="300" w:lineRule="auto" w:after="120"/>
        <w:jc w:val="both"/>
      </w:pPr>
      <w:r>
        <w:rPr>
          <w:rFonts w:ascii="Times New Roman" w:hAnsi="Times New Roman"/>
          <w:b/>
          <w:sz w:val="24"/>
        </w:rPr>
        <w:t xml:space="preserve">Internal Mechanism: </w:t>
      </w:r>
      <w:r>
        <w:rPr>
          <w:rFonts w:ascii="Times New Roman" w:hAnsi="Times New Roman"/>
          <w:sz w:val="24"/>
        </w:rPr>
        <w:t>New members register by supplying their full name, email address, contact telephone number, and password. The module validates field integrity, ensures email uniqueness, and passes the password through a cryptographic one-way hashing function (Werkzeug PBKDF2 with HMAC-SHA256 and automated random salt generation). Upon login, authenticated credentials establish a cryptographically signed, tamper-evident HTTP cookie session. The module acts as an access-control gatekeeper (middleware), redirecting unauthorized users attempting to access protected endpoints (/dashboard, /add-item, /requests) to the login portal with informative flash alerts.</w:t>
      </w:r>
    </w:p>
    <w:p>
      <w:pPr>
        <w:pStyle w:val="ListBullet"/>
        <w:spacing w:line="288" w:lineRule="auto" w:after="80"/>
        <w:jc w:val="both"/>
      </w:pPr>
      <w:r>
        <w:rPr>
          <w:rFonts w:ascii="Times New Roman" w:hAnsi="Times New Roman"/>
          <w:b/>
          <w:color w:val="1E3A8A"/>
          <w:sz w:val="24"/>
        </w:rPr>
        <w:t xml:space="preserve">Database Entities Involved: </w:t>
      </w:r>
      <w:r>
        <w:rPr>
          <w:rFonts w:ascii="Times New Roman" w:hAnsi="Times New Roman"/>
          <w:sz w:val="24"/>
        </w:rPr>
        <w:t>users (id, name, email, password, phone, created_at).</w:t>
      </w:r>
    </w:p>
    <w:p>
      <w:pPr>
        <w:pStyle w:val="ListBullet"/>
        <w:spacing w:line="288" w:lineRule="auto" w:after="80"/>
        <w:jc w:val="both"/>
      </w:pPr>
      <w:r>
        <w:rPr>
          <w:rFonts w:ascii="Times New Roman" w:hAnsi="Times New Roman"/>
          <w:b/>
          <w:color w:val="1E3A8A"/>
          <w:sz w:val="24"/>
        </w:rPr>
        <w:t xml:space="preserve">Key Functions: </w:t>
      </w:r>
      <w:r>
        <w:rPr>
          <w:rFonts w:ascii="Times New Roman" w:hAnsi="Times New Roman"/>
          <w:sz w:val="24"/>
        </w:rPr>
        <w:t>login(), register(), logout(), profile(), get_user_by_id().</w:t>
      </w:r>
    </w:p>
    <w:p>
      <w:pPr>
        <w:keepNext/>
        <w:spacing w:before="200" w:after="60"/>
      </w:pPr>
      <w:r>
        <w:rPr>
          <w:rFonts w:ascii="Times New Roman" w:hAnsi="Times New Roman"/>
          <w:b/>
          <w:color w:val="334155"/>
          <w:sz w:val="24"/>
        </w:rPr>
        <w:t>2.2 Module 2: Item Inventory &amp; Photographic Asset Management Module</w:t>
      </w:r>
    </w:p>
    <w:p>
      <w:pPr>
        <w:spacing w:line="300" w:lineRule="auto" w:after="120"/>
        <w:jc w:val="both"/>
      </w:pPr>
      <w:r>
        <w:rPr>
          <w:rFonts w:ascii="Times New Roman" w:hAnsi="Times New Roman"/>
          <w:b/>
          <w:sz w:val="24"/>
        </w:rPr>
        <w:t xml:space="preserve">Purpose &amp; Scope: </w:t>
      </w:r>
      <w:r>
        <w:rPr>
          <w:rFonts w:ascii="Times New Roman" w:hAnsi="Times New Roman"/>
          <w:sz w:val="24"/>
        </w:rPr>
        <w:t>This module empowers verified residents to digitize and manage the catalog of physical resources they are willing to share with the neighborhood.</w:t>
      </w:r>
    </w:p>
    <w:p>
      <w:pPr>
        <w:spacing w:line="300" w:lineRule="auto" w:after="120"/>
        <w:jc w:val="both"/>
      </w:pPr>
      <w:r>
        <w:rPr>
          <w:rFonts w:ascii="Times New Roman" w:hAnsi="Times New Roman"/>
          <w:b/>
          <w:sz w:val="24"/>
        </w:rPr>
        <w:t xml:space="preserve">Internal Mechanism: </w:t>
      </w:r>
      <w:r>
        <w:rPr>
          <w:rFonts w:ascii="Times New Roman" w:hAnsi="Times New Roman"/>
          <w:sz w:val="24"/>
        </w:rPr>
        <w:t>When an owner lists an item, they supply an item title, category classification (Tools, Books, Sports, Electronics, Household, Other), usage guidelines/description, and an optional image attachment. The module incorporates a secure multipart image ingestion pipeline (save_item_image). It validates file extensions against a strict whitelist (PNG, JPG, JPEG, WEBP), checks file size limits (5 MB max), and strips hazardous filename characters using secure_filename. To eliminate file overwrite collisions, each uploaded image is assigned a unique 32-character hexadecimal UUID prefix before being saved into the physical /static/uploads/ directory. The module also contains orphan-cleanup routines (delete_item_image) that physically delete orphaned images from disk whenever an item is updated or deleted.</w:t>
      </w:r>
    </w:p>
    <w:p>
      <w:pPr>
        <w:pStyle w:val="ListBullet"/>
        <w:spacing w:line="288" w:lineRule="auto" w:after="80"/>
        <w:jc w:val="both"/>
      </w:pPr>
      <w:r>
        <w:rPr>
          <w:rFonts w:ascii="Times New Roman" w:hAnsi="Times New Roman"/>
          <w:b/>
          <w:color w:val="1E3A8A"/>
          <w:sz w:val="24"/>
        </w:rPr>
        <w:t xml:space="preserve">Database Entities Involved: </w:t>
      </w:r>
      <w:r>
        <w:rPr>
          <w:rFonts w:ascii="Times New Roman" w:hAnsi="Times New Roman"/>
          <w:sz w:val="24"/>
        </w:rPr>
        <w:t>items (id, owner_id, item_name, category, description, image, availability, created_at).</w:t>
      </w:r>
    </w:p>
    <w:p>
      <w:pPr>
        <w:pStyle w:val="ListBullet"/>
        <w:spacing w:line="288" w:lineRule="auto" w:after="80"/>
        <w:jc w:val="both"/>
      </w:pPr>
      <w:r>
        <w:rPr>
          <w:rFonts w:ascii="Times New Roman" w:hAnsi="Times New Roman"/>
          <w:b/>
          <w:color w:val="1E3A8A"/>
          <w:sz w:val="24"/>
        </w:rPr>
        <w:t xml:space="preserve">Key Functions: </w:t>
      </w:r>
      <w:r>
        <w:rPr>
          <w:rFonts w:ascii="Times New Roman" w:hAnsi="Times New Roman"/>
          <w:sz w:val="24"/>
        </w:rPr>
        <w:t>add_item(), edit_item(), delete_item(), save_item_image(), delete_item_image().</w:t>
      </w:r>
    </w:p>
    <w:p>
      <w:pPr>
        <w:keepNext/>
        <w:spacing w:before="200" w:after="60"/>
      </w:pPr>
      <w:r>
        <w:rPr>
          <w:rFonts w:ascii="Times New Roman" w:hAnsi="Times New Roman"/>
          <w:b/>
          <w:color w:val="334155"/>
          <w:sz w:val="24"/>
        </w:rPr>
        <w:t>2.3 Module 3: Discovery, Search &amp; Category Filter Module</w:t>
      </w:r>
    </w:p>
    <w:p>
      <w:pPr>
        <w:spacing w:line="300" w:lineRule="auto" w:after="120"/>
        <w:jc w:val="both"/>
      </w:pPr>
      <w:r>
        <w:rPr>
          <w:rFonts w:ascii="Times New Roman" w:hAnsi="Times New Roman"/>
          <w:b/>
          <w:sz w:val="24"/>
        </w:rPr>
        <w:t xml:space="preserve">Purpose &amp; Scope: </w:t>
      </w:r>
      <w:r>
        <w:rPr>
          <w:rFonts w:ascii="Times New Roman" w:hAnsi="Times New Roman"/>
          <w:sz w:val="24"/>
        </w:rPr>
        <w:t>The Discovery Module facilitates rapid resource retrieval, allowing community members to find tools, literature, or gear needed for immediate household tasks.</w:t>
      </w:r>
    </w:p>
    <w:p>
      <w:pPr>
        <w:spacing w:line="300" w:lineRule="auto" w:after="120"/>
        <w:jc w:val="both"/>
      </w:pPr>
      <w:r>
        <w:rPr>
          <w:rFonts w:ascii="Times New Roman" w:hAnsi="Times New Roman"/>
          <w:b/>
          <w:sz w:val="24"/>
        </w:rPr>
        <w:t xml:space="preserve">Internal Mechanism: </w:t>
      </w:r>
      <w:r>
        <w:rPr>
          <w:rFonts w:ascii="Times New Roman" w:hAnsi="Times New Roman"/>
          <w:sz w:val="24"/>
        </w:rPr>
        <w:t>The module provides a unified browsing interface featuring an asynchronous search bar and category selector chips. Queries are evaluated through dynamic parameterized SQL statements using SQL LIKE '%query%' pattern matching across both item names and item descriptions, combined with category filters. Because all queries utilize parameterized tuple binding rather than string concatenation, SQL injection vectors are completely neutralized. Returned item records are enriched via SQL JOIN operations with owner contact data and rendered into an accessible card grid displaying high-contrast availability chips ('Available' in Emerald green, 'Lent' in Amber warning).</w:t>
      </w:r>
    </w:p>
    <w:p>
      <w:pPr>
        <w:pStyle w:val="ListBullet"/>
        <w:spacing w:line="288" w:lineRule="auto" w:after="80"/>
        <w:jc w:val="both"/>
      </w:pPr>
      <w:r>
        <w:rPr>
          <w:rFonts w:ascii="Times New Roman" w:hAnsi="Times New Roman"/>
          <w:b/>
          <w:color w:val="1E3A8A"/>
          <w:sz w:val="24"/>
        </w:rPr>
        <w:t xml:space="preserve">Database Entities Involved: </w:t>
      </w:r>
      <w:r>
        <w:rPr>
          <w:rFonts w:ascii="Times New Roman" w:hAnsi="Times New Roman"/>
          <w:sz w:val="24"/>
        </w:rPr>
        <w:t>items, users (JOIN on items.owner_id = users.id).</w:t>
      </w:r>
    </w:p>
    <w:p>
      <w:pPr>
        <w:pStyle w:val="ListBullet"/>
        <w:spacing w:line="288" w:lineRule="auto" w:after="80"/>
        <w:jc w:val="both"/>
      </w:pPr>
      <w:r>
        <w:rPr>
          <w:rFonts w:ascii="Times New Roman" w:hAnsi="Times New Roman"/>
          <w:b/>
          <w:color w:val="1E3A8A"/>
          <w:sz w:val="24"/>
        </w:rPr>
        <w:t xml:space="preserve">Key Functions: </w:t>
      </w:r>
      <w:r>
        <w:rPr>
          <w:rFonts w:ascii="Times New Roman" w:hAnsi="Times New Roman"/>
          <w:sz w:val="24"/>
        </w:rPr>
        <w:t>browse(), item_details(), search_query_builder().</w:t>
      </w:r>
    </w:p>
    <w:p>
      <w:pPr>
        <w:keepNext/>
        <w:spacing w:before="200" w:after="60"/>
      </w:pPr>
      <w:r>
        <w:rPr>
          <w:rFonts w:ascii="Times New Roman" w:hAnsi="Times New Roman"/>
          <w:b/>
          <w:color w:val="334155"/>
          <w:sz w:val="24"/>
        </w:rPr>
        <w:t>2.4 Module 4: Lending Workflow &amp; State Transition Module</w:t>
      </w:r>
    </w:p>
    <w:p>
      <w:pPr>
        <w:spacing w:line="300" w:lineRule="auto" w:after="120"/>
        <w:jc w:val="both"/>
      </w:pPr>
      <w:r>
        <w:rPr>
          <w:rFonts w:ascii="Times New Roman" w:hAnsi="Times New Roman"/>
          <w:b/>
          <w:sz w:val="24"/>
        </w:rPr>
        <w:t xml:space="preserve">Purpose &amp; Scope: </w:t>
      </w:r>
      <w:r>
        <w:rPr>
          <w:rFonts w:ascii="Times New Roman" w:hAnsi="Times New Roman"/>
          <w:sz w:val="24"/>
        </w:rPr>
        <w:t>The Lending Workflow Module serves as the operational core of the platform, automating the end-to-end lifecycle of borrowing, approval, loan tracking, and returns.</w:t>
      </w:r>
    </w:p>
    <w:p>
      <w:pPr>
        <w:spacing w:line="300" w:lineRule="auto" w:after="120"/>
        <w:jc w:val="both"/>
      </w:pPr>
      <w:r>
        <w:rPr>
          <w:rFonts w:ascii="Times New Roman" w:hAnsi="Times New Roman"/>
          <w:b/>
          <w:sz w:val="24"/>
        </w:rPr>
        <w:t xml:space="preserve">Internal Mechanism: </w:t>
      </w:r>
      <w:r>
        <w:rPr>
          <w:rFonts w:ascii="Times New Roman" w:hAnsi="Times New Roman"/>
          <w:sz w:val="24"/>
        </w:rPr>
        <w:t>The module enforces a deterministic finite state machine with strict validation rules. When a borrower requests an item, the system verifies that the borrower is not the owner (preventing self-borrowing) and that the item is currently 'Available'. A lending_requests record is generated with status = 'Pending'. The owner's dashboard displays the pending request alongside the borrower's contact details. If the owner clicks 'Approve', an atomic database transaction updates the request status to 'Approved' and flips the item's availability in the items table to 'Lent', instantly hiding the request button from other users. Once the borrower finishes utilizing the item, they click 'Return Item', which transitions the request to 'Returned', restores the item's availability back to 'Available', and writes the completed record to the permanent transaction ledger.</w:t>
      </w:r>
    </w:p>
    <w:p>
      <w:pPr>
        <w:pStyle w:val="ListBullet"/>
        <w:spacing w:line="288" w:lineRule="auto" w:after="80"/>
        <w:jc w:val="both"/>
      </w:pPr>
      <w:r>
        <w:rPr>
          <w:rFonts w:ascii="Times New Roman" w:hAnsi="Times New Roman"/>
          <w:b/>
          <w:color w:val="1E3A8A"/>
          <w:sz w:val="24"/>
        </w:rPr>
        <w:t xml:space="preserve">Database Entities Involved: </w:t>
      </w:r>
      <w:r>
        <w:rPr>
          <w:rFonts w:ascii="Times New Roman" w:hAnsi="Times New Roman"/>
          <w:sz w:val="24"/>
        </w:rPr>
        <w:t>lending_requests (id, item_id, borrower_id, owner_id, status, requested_at), items, users.</w:t>
      </w:r>
    </w:p>
    <w:p>
      <w:pPr>
        <w:pStyle w:val="ListBullet"/>
        <w:spacing w:line="288" w:lineRule="auto" w:after="80"/>
        <w:jc w:val="both"/>
      </w:pPr>
      <w:r>
        <w:rPr>
          <w:rFonts w:ascii="Times New Roman" w:hAnsi="Times New Roman"/>
          <w:b/>
          <w:color w:val="1E3A8A"/>
          <w:sz w:val="24"/>
        </w:rPr>
        <w:t xml:space="preserve">Key Functions: </w:t>
      </w:r>
      <w:r>
        <w:rPr>
          <w:rFonts w:ascii="Times New Roman" w:hAnsi="Times New Roman"/>
          <w:sz w:val="24"/>
        </w:rPr>
        <w:t>request_item(), requests_view(), approve_request(), reject_request(), return_item(), transactions().</w:t>
      </w:r>
    </w:p>
    <w:p>
      <w:pPr>
        <w:keepNext/>
        <w:spacing w:before="200" w:after="60"/>
      </w:pPr>
      <w:r>
        <w:rPr>
          <w:rFonts w:ascii="Times New Roman" w:hAnsi="Times New Roman"/>
          <w:b/>
          <w:color w:val="334155"/>
          <w:sz w:val="24"/>
        </w:rPr>
        <w:t>2.5 Module 5: Cloud Infrastructure &amp; REST API Service Module</w:t>
      </w:r>
    </w:p>
    <w:p>
      <w:pPr>
        <w:spacing w:line="300" w:lineRule="auto" w:after="120"/>
        <w:jc w:val="both"/>
      </w:pPr>
      <w:r>
        <w:rPr>
          <w:rFonts w:ascii="Times New Roman" w:hAnsi="Times New Roman"/>
          <w:b/>
          <w:sz w:val="24"/>
        </w:rPr>
        <w:t xml:space="preserve">Purpose &amp; Scope: </w:t>
      </w:r>
      <w:r>
        <w:rPr>
          <w:rFonts w:ascii="Times New Roman" w:hAnsi="Times New Roman"/>
          <w:sz w:val="24"/>
        </w:rPr>
        <w:t>This module handles cloud-native persistence, high-availability deployment, and cross-platform mobile client extensibility.</w:t>
      </w:r>
    </w:p>
    <w:p>
      <w:pPr>
        <w:spacing w:line="300" w:lineRule="auto" w:after="120"/>
        <w:jc w:val="both"/>
      </w:pPr>
      <w:r>
        <w:rPr>
          <w:rFonts w:ascii="Times New Roman" w:hAnsi="Times New Roman"/>
          <w:b/>
          <w:sz w:val="24"/>
        </w:rPr>
        <w:t xml:space="preserve">Internal Mechanism: </w:t>
      </w:r>
      <w:r>
        <w:rPr>
          <w:rFonts w:ascii="Times New Roman" w:hAnsi="Times New Roman"/>
          <w:sz w:val="24"/>
        </w:rPr>
        <w:t>The platform is configured for production WSGI execution via Gunicorn on Render, coupled with TiDB Serverless Cloud MySQL. The module features automated SSL/TLS handshake negotiation, dynamically scanning Linux container environments for active certificate bundles (/etc/ssl/certs/ca-certificates.crt) to guarantee encrypted database sessions. Furthermore, the module exposes a suite of CORS-enabled REST API endpoints (/api/auth/login, /api/dashboard, /api/items, /api/items/add, /api/requests/*) that exchange pure JSON payloads. This decoupled API layer enables the system to effortlessly power the accompanying React Native / Expo mobile application, allowing users to snap photos using smartphone cameras and manage requests on native Android and iOS devices.</w:t>
      </w:r>
    </w:p>
    <w:p>
      <w:pPr>
        <w:pStyle w:val="ListBullet"/>
        <w:spacing w:line="288" w:lineRule="auto" w:after="80"/>
        <w:jc w:val="both"/>
      </w:pPr>
      <w:r>
        <w:rPr>
          <w:rFonts w:ascii="Times New Roman" w:hAnsi="Times New Roman"/>
          <w:b/>
          <w:color w:val="1E3A8A"/>
          <w:sz w:val="24"/>
        </w:rPr>
        <w:t xml:space="preserve">Database Entities Involved: </w:t>
      </w:r>
      <w:r>
        <w:rPr>
          <w:rFonts w:ascii="Times New Roman" w:hAnsi="Times New Roman"/>
          <w:sz w:val="24"/>
        </w:rPr>
        <w:t>Unified database schema with automated 'CREATE TABLE IF NOT EXISTS' bootstrap.</w:t>
      </w:r>
    </w:p>
    <w:p>
      <w:pPr>
        <w:pStyle w:val="ListBullet"/>
        <w:spacing w:line="288" w:lineRule="auto" w:after="80"/>
        <w:jc w:val="both"/>
      </w:pPr>
      <w:r>
        <w:rPr>
          <w:rFonts w:ascii="Times New Roman" w:hAnsi="Times New Roman"/>
          <w:b/>
          <w:color w:val="1E3A8A"/>
          <w:sz w:val="24"/>
        </w:rPr>
        <w:t xml:space="preserve">Key Endpoints: </w:t>
      </w:r>
      <w:r>
        <w:rPr>
          <w:rFonts w:ascii="Times New Roman" w:hAnsi="Times New Roman"/>
          <w:sz w:val="24"/>
        </w:rPr>
        <w:t>api_login(), api_get_items(), api_add_item(), api_approve_request(), api_return_item().</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787878"/>
        <w:sz w:val="17"/>
      </w:rPr>
      <w:t>Community Lending Platform — Academic Review Phase 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1E1E1E"/>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