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color w:val="000000"/>
          <w:sz w:val="34"/>
        </w:rPr>
        <w:t>SYSTEM DESIGN AND ARCHITECTURAL SPECIFICATION</w:t>
      </w:r>
    </w:p>
    <w:p>
      <w:pPr>
        <w:spacing w:before="0" w:after="200" w:line="276" w:lineRule="auto"/>
        <w:jc w:val="left"/>
      </w:pPr>
      <w:r>
        <w:rPr>
          <w:rFonts w:ascii="Times New Roman" w:hAnsi="Times New Roman"/>
          <w:i/>
          <w:color w:val="000000"/>
          <w:sz w:val="21"/>
        </w:rPr>
        <w:t>Project Work: Community Lending Platform for Sharing and Borrowing Household Resources — Second Review</w:t>
      </w:r>
    </w:p>
    <w:p>
      <w:pPr>
        <w:keepNext/>
        <w:spacing w:before="200" w:after="40" w:line="288" w:lineRule="auto"/>
      </w:pPr>
      <w:r>
        <w:rPr>
          <w:rFonts w:ascii="Times New Roman" w:hAnsi="Times New Roman"/>
          <w:b/>
          <w:color w:val="000000"/>
          <w:sz w:val="26"/>
        </w:rPr>
        <w:t>1. Architectural Design Overview</w:t>
      </w:r>
    </w:p>
    <w:p>
      <w:pPr>
        <w:spacing w:line="360" w:lineRule="auto" w:after="80"/>
        <w:jc w:val="both"/>
      </w:pPr>
      <w:r>
        <w:rPr>
          <w:rFonts w:ascii="Times New Roman" w:hAnsi="Times New Roman"/>
          <w:color w:val="000000"/>
          <w:sz w:val="24"/>
        </w:rPr>
        <w:t>The architectural design of the Community Lending Platform defines the overall software structure, the responsibilities of individual modules, and the interfaces through which data flows. The platform is organized using a classical layered N-tier architecture. This separation ensures that presentation rendering, business rules, and database persistence can be developed, tested, and maintained independently.</w:t>
      </w:r>
    </w:p>
    <w:p>
      <w:pPr>
        <w:keepNext/>
        <w:spacing w:before="120" w:after="40" w:line="288" w:lineRule="auto"/>
      </w:pPr>
      <w:r>
        <w:rPr>
          <w:rFonts w:ascii="Times New Roman" w:hAnsi="Times New Roman"/>
          <w:b/>
          <w:color w:val="000000"/>
          <w:sz w:val="23"/>
        </w:rPr>
        <w:t>1.1 Layered N-Tier Architecture</w:t>
      </w:r>
    </w:p>
    <w:p>
      <w:pPr>
        <w:spacing w:line="360" w:lineRule="auto" w:after="80"/>
        <w:jc w:val="both"/>
      </w:pPr>
      <w:r>
        <w:rPr>
          <w:rFonts w:ascii="Times New Roman" w:hAnsi="Times New Roman"/>
          <w:color w:val="000000"/>
          <w:sz w:val="24"/>
        </w:rPr>
        <w:t>The system architecture is structured into four functional layers:</w:t>
      </w:r>
    </w:p>
    <w:p>
      <w:pPr>
        <w:pStyle w:val="ListBullet"/>
        <w:spacing w:line="360" w:lineRule="auto" w:after="60"/>
        <w:jc w:val="both"/>
      </w:pPr>
      <w:r>
        <w:rPr>
          <w:rFonts w:ascii="Times New Roman" w:hAnsi="Times New Roman"/>
          <w:b/>
          <w:color w:val="000000"/>
          <w:sz w:val="24"/>
        </w:rPr>
        <w:t xml:space="preserve">Presentation Layer (Client Tier): </w:t>
      </w:r>
      <w:r>
        <w:rPr>
          <w:rFonts w:ascii="Times New Roman" w:hAnsi="Times New Roman"/>
          <w:color w:val="000000"/>
          <w:sz w:val="24"/>
        </w:rPr>
        <w:t>Provides a responsive web interface using HTML5, CSS3, and JavaScript, along with a cross-platform mobile app built using React Native and Expo for Android and iOS devices.</w:t>
      </w:r>
    </w:p>
    <w:p>
      <w:pPr>
        <w:pStyle w:val="ListBullet"/>
        <w:spacing w:line="360" w:lineRule="auto" w:after="60"/>
        <w:jc w:val="both"/>
      </w:pPr>
      <w:r>
        <w:rPr>
          <w:rFonts w:ascii="Times New Roman" w:hAnsi="Times New Roman"/>
          <w:b/>
          <w:color w:val="000000"/>
          <w:sz w:val="24"/>
        </w:rPr>
        <w:t xml:space="preserve">Application Gateway Layer (Web Tier): </w:t>
      </w:r>
      <w:r>
        <w:rPr>
          <w:rFonts w:ascii="Times New Roman" w:hAnsi="Times New Roman"/>
          <w:color w:val="000000"/>
          <w:sz w:val="24"/>
        </w:rPr>
        <w:t>Utilizes Gunicorn (WSGI HTTP server) on Render cloud to accept incoming HTTPS requests, manage worker processes, and route traffic to application endpoints.</w:t>
      </w:r>
    </w:p>
    <w:p>
      <w:pPr>
        <w:pStyle w:val="ListBullet"/>
        <w:spacing w:line="360" w:lineRule="auto" w:after="60"/>
        <w:jc w:val="both"/>
      </w:pPr>
      <w:r>
        <w:rPr>
          <w:rFonts w:ascii="Times New Roman" w:hAnsi="Times New Roman"/>
          <w:b/>
          <w:color w:val="000000"/>
          <w:sz w:val="24"/>
        </w:rPr>
        <w:t xml:space="preserve">Business Logic Layer (Service Tier): </w:t>
      </w:r>
      <w:r>
        <w:rPr>
          <w:rFonts w:ascii="Times New Roman" w:hAnsi="Times New Roman"/>
          <w:color w:val="000000"/>
          <w:sz w:val="24"/>
        </w:rPr>
        <w:t>Contains core Python Flask modules responsible for user authentication, password hashing, session validation, file sanitization, and borrowing request state transitions.</w:t>
      </w:r>
    </w:p>
    <w:p>
      <w:pPr>
        <w:pStyle w:val="ListBullet"/>
        <w:spacing w:line="360" w:lineRule="auto" w:after="60"/>
        <w:jc w:val="both"/>
      </w:pPr>
      <w:r>
        <w:rPr>
          <w:rFonts w:ascii="Times New Roman" w:hAnsi="Times New Roman"/>
          <w:b/>
          <w:color w:val="000000"/>
          <w:sz w:val="24"/>
        </w:rPr>
        <w:t xml:space="preserve">Data Persistence Layer (Database Tier): </w:t>
      </w:r>
      <w:r>
        <w:rPr>
          <w:rFonts w:ascii="Times New Roman" w:hAnsi="Times New Roman"/>
          <w:color w:val="000000"/>
          <w:sz w:val="24"/>
        </w:rPr>
        <w:t>Leverages the TiDB Serverless Cloud relational database (MySQL 8.0 protocol) for ACID-compliant structured data storage, alongside local static disk storage for uploaded photos.</w:t>
      </w:r>
    </w:p>
    <w:p>
      <w:pPr>
        <w:keepNext/>
        <w:spacing w:before="120" w:after="40" w:line="288" w:lineRule="auto"/>
      </w:pPr>
      <w:r>
        <w:rPr>
          <w:rFonts w:ascii="Times New Roman" w:hAnsi="Times New Roman"/>
          <w:b/>
          <w:color w:val="000000"/>
          <w:sz w:val="23"/>
        </w:rPr>
        <w:t>1.2 Deployment Topology</w:t>
      </w:r>
    </w:p>
    <w:p>
      <w:pPr>
        <w:spacing w:line="360" w:lineRule="auto" w:after="80"/>
        <w:jc w:val="both"/>
      </w:pPr>
      <w:r>
        <w:rPr>
          <w:rFonts w:ascii="Times New Roman" w:hAnsi="Times New Roman"/>
          <w:color w:val="000000"/>
          <w:sz w:val="24"/>
        </w:rPr>
        <w:t>The application is deployed across cloud environments to ensure reliable 24/7 uptime. The Flask web application runs inside a managed Linux container on Render Cloud, linked directly to the project's GitHub repository for automated continuous deployment. Database services are hosted on TiDB Serverless Cloud in the AWS Singapore region, providing automatic multi-zone replication, TLS encrypted connections, and daily automated snapshots.</w:t>
      </w:r>
    </w:p>
    <w:p>
      <w:pPr>
        <w:keepNext/>
        <w:spacing w:before="200" w:after="40" w:line="288" w:lineRule="auto"/>
      </w:pPr>
      <w:r>
        <w:rPr>
          <w:rFonts w:ascii="Times New Roman" w:hAnsi="Times New Roman"/>
          <w:b/>
          <w:color w:val="000000"/>
          <w:sz w:val="26"/>
        </w:rPr>
        <w:t>2. Data Flow Diagrams (DFD) — Levels 0, 1, and 2</w:t>
      </w:r>
    </w:p>
    <w:p>
      <w:pPr>
        <w:spacing w:line="360" w:lineRule="auto" w:after="80"/>
        <w:jc w:val="both"/>
      </w:pPr>
      <w:r>
        <w:rPr>
          <w:rFonts w:ascii="Times New Roman" w:hAnsi="Times New Roman"/>
          <w:color w:val="000000"/>
          <w:sz w:val="24"/>
        </w:rPr>
        <w:t>Data Flow Diagrams illustrate how data enters the platform, transforms through functional processes, and persists into data stores across three levels of refinement.</w:t>
      </w:r>
    </w:p>
    <w:p>
      <w:pPr>
        <w:keepNext/>
        <w:spacing w:before="120" w:after="40" w:line="288" w:lineRule="auto"/>
      </w:pPr>
      <w:r>
        <w:rPr>
          <w:rFonts w:ascii="Times New Roman" w:hAnsi="Times New Roman"/>
          <w:b/>
          <w:color w:val="000000"/>
          <w:sz w:val="23"/>
        </w:rPr>
        <w:t>2.1 Level 0 DFD (Context Level Diagram)</w:t>
      </w:r>
    </w:p>
    <w:p>
      <w:pPr>
        <w:spacing w:line="360" w:lineRule="auto" w:after="80"/>
        <w:jc w:val="both"/>
      </w:pPr>
      <w:r>
        <w:rPr>
          <w:rFonts w:ascii="Times New Roman" w:hAnsi="Times New Roman"/>
          <w:color w:val="000000"/>
          <w:sz w:val="24"/>
        </w:rPr>
        <w:t>The Context Level Diagram represents the entire system as a single central process interacting with external human actors (Borrowers and Item Owners):</w:t>
      </w:r>
    </w:p>
    <w:p>
      <w:pPr>
        <w:keepNext/>
        <w:spacing w:before="120" w:after="40"/>
      </w:pPr>
      <w:r>
        <w:rPr>
          <w:rFonts w:ascii="Times New Roman" w:hAnsi="Times New Roman"/>
          <w:b/>
          <w:color w:val="000000"/>
          <w:sz w:val="21"/>
        </w:rPr>
        <w:t>Figure 2.1: Level 0 DFD — Context Level Diagram</w:t>
      </w:r>
    </w:p>
    <w:p>
      <w:pPr>
        <w:spacing w:line="240" w:lineRule="auto" w:after="120"/>
        <w:jc w:val="left"/>
      </w:pPr>
      <w:r>
        <w:rPr>
          <w:rFonts w:ascii="Courier New" w:hAnsi="Courier New"/>
          <w:color w:val="000000"/>
          <w:sz w:val="16"/>
        </w:rPr>
        <w:t xml:space="preserve">  +------------------+         Item Listings &amp; Decisions         +-------------------+</w:t>
        <w:br/>
        <w:t xml:space="preserve">  |                  | ----------------------------------------&gt; |                   |</w:t>
        <w:br/>
        <w:t xml:space="preserve">  |    ITEM OWNER    | &lt;---------------------------------------- |                   |</w:t>
        <w:br/>
        <w:t xml:space="preserve">  | (Lender Member)  |             Borrow Request Alerts         | COMMUNITY LENDING |</w:t>
        <w:br/>
        <w:t xml:space="preserve">  +------------------+                                           |      PLATFORM     |</w:t>
        <w:br/>
        <w:t xml:space="preserve">                                                                 |  (CENTRAL SYSTEM) |</w:t>
        <w:br/>
        <w:t xml:space="preserve">  +------------------+          Search Queries &amp; Requests        |                   |</w:t>
        <w:br/>
        <w:t xml:space="preserve">  |                  | ----------------------------------------&gt; |                   |</w:t>
        <w:br/>
        <w:t xml:space="preserve">  |     BORROWER     | &lt;---------------------------------------- |                   |</w:t>
        <w:br/>
        <w:t xml:space="preserve">  | (Borrow Member)  |          Item Catalog &amp; Status Updates    +-------------------+</w:t>
        <w:br/>
        <w:t xml:space="preserve">  +------------------+</w:t>
      </w:r>
    </w:p>
    <w:p>
      <w:pPr>
        <w:keepNext/>
        <w:spacing w:before="120" w:after="40" w:line="288" w:lineRule="auto"/>
      </w:pPr>
      <w:r>
        <w:rPr>
          <w:rFonts w:ascii="Times New Roman" w:hAnsi="Times New Roman"/>
          <w:b/>
          <w:color w:val="000000"/>
          <w:sz w:val="23"/>
        </w:rPr>
        <w:t>2.2 Level 1 DFD (Subsystem Process Decomposition)</w:t>
      </w:r>
    </w:p>
    <w:p>
      <w:pPr>
        <w:spacing w:line="360" w:lineRule="auto" w:after="80"/>
        <w:jc w:val="both"/>
      </w:pPr>
      <w:r>
        <w:rPr>
          <w:rFonts w:ascii="Times New Roman" w:hAnsi="Times New Roman"/>
          <w:color w:val="000000"/>
          <w:sz w:val="24"/>
        </w:rPr>
        <w:t>The Level 1 DFD decomposes the central system into four principal functional subsystems and illustrates interactions with persistent data stores:</w:t>
      </w:r>
    </w:p>
    <w:p>
      <w:pPr>
        <w:keepNext/>
        <w:spacing w:before="120" w:after="40"/>
      </w:pPr>
      <w:r>
        <w:rPr>
          <w:rFonts w:ascii="Times New Roman" w:hAnsi="Times New Roman"/>
          <w:b/>
          <w:color w:val="000000"/>
          <w:sz w:val="21"/>
        </w:rPr>
        <w:t>Figure 2.2: Level 1 DFD — Subsystem Process Diagram</w:t>
      </w:r>
    </w:p>
    <w:p>
      <w:pPr>
        <w:spacing w:line="240" w:lineRule="auto" w:after="120"/>
        <w:jc w:val="left"/>
      </w:pPr>
      <w:r>
        <w:rPr>
          <w:rFonts w:ascii="Courier New" w:hAnsi="Courier New"/>
          <w:color w:val="000000"/>
          <w:sz w:val="16"/>
        </w:rPr>
        <w:t xml:space="preserve">  [USER] ---&gt; (1.0 Auth Subsystem) --------&gt; [D1: users Table]</w:t>
        <w:br/>
        <w:t xml:space="preserve">                    |                               ^</w:t>
        <w:br/>
        <w:t xml:space="preserve">                    v                               |</w:t>
        <w:br/>
        <w:t xml:space="preserve">  [OWNER] --&gt; (2.0 Catalog Management) ----&gt; [D2: items Table]</w:t>
        <w:br/>
        <w:t xml:space="preserve">                    |                               ^</w:t>
        <w:br/>
        <w:t xml:space="preserve">                    v                               |</w:t>
        <w:br/>
        <w:t xml:space="preserve">  [BORROWER]-&gt; (3.0 Search &amp; Discovery) ------------+</w:t>
        <w:br/>
        <w:t xml:space="preserve">                    |</w:t>
        <w:br/>
        <w:t xml:space="preserve">                    v</w:t>
        <w:br/>
        <w:t xml:space="preserve">  [BORROWER]-&gt; (4.0 Lending State Engine) -&gt; [D3: lending_requests Table]</w:t>
        <w:br/>
        <w:t xml:space="preserve">                    ^                               |</w:t>
        <w:br/>
        <w:t xml:space="preserve">                    +-- (Approval / Return Flow) ---+</w:t>
      </w:r>
    </w:p>
    <w:p>
      <w:pPr>
        <w:keepNext/>
        <w:spacing w:before="120" w:after="40" w:line="288" w:lineRule="auto"/>
      </w:pPr>
      <w:r>
        <w:rPr>
          <w:rFonts w:ascii="Times New Roman" w:hAnsi="Times New Roman"/>
          <w:b/>
          <w:color w:val="000000"/>
          <w:sz w:val="23"/>
        </w:rPr>
        <w:t>2.3 Level 2 DFD (Lending Request Lifecycle Decomposition)</w:t>
      </w:r>
    </w:p>
    <w:p>
      <w:pPr>
        <w:spacing w:line="360" w:lineRule="auto" w:after="80"/>
        <w:jc w:val="both"/>
      </w:pPr>
      <w:r>
        <w:rPr>
          <w:rFonts w:ascii="Times New Roman" w:hAnsi="Times New Roman"/>
          <w:color w:val="000000"/>
          <w:sz w:val="24"/>
        </w:rPr>
        <w:t>The Level 2 DFD provides granular insight into the borrowing transaction lifecycle from initial request to return confirmation:</w:t>
      </w:r>
    </w:p>
    <w:p>
      <w:pPr>
        <w:keepNext/>
        <w:spacing w:before="120" w:after="40"/>
      </w:pPr>
      <w:r>
        <w:rPr>
          <w:rFonts w:ascii="Times New Roman" w:hAnsi="Times New Roman"/>
          <w:b/>
          <w:color w:val="000000"/>
          <w:sz w:val="21"/>
        </w:rPr>
        <w:t>Figure 2.3: Level 2 DFD — Borrow Request Lifecycle</w:t>
      </w:r>
    </w:p>
    <w:p>
      <w:pPr>
        <w:spacing w:line="240" w:lineRule="auto" w:after="120"/>
        <w:jc w:val="left"/>
      </w:pPr>
      <w:r>
        <w:rPr>
          <w:rFonts w:ascii="Courier New" w:hAnsi="Courier New"/>
          <w:color w:val="000000"/>
          <w:sz w:val="16"/>
        </w:rPr>
        <w:t xml:space="preserve">  [Borrower] ===&gt; (4.1 Validate Item Availability)</w:t>
        <w:br/>
        <w:t xml:space="preserve">                        |</w:t>
        <w:br/>
        <w:t xml:space="preserve">                        +---&gt; [D2: items] (Check: availability == 'Available')</w:t>
        <w:br/>
        <w:t xml:space="preserve">                        |</w:t>
        <w:br/>
        <w:t xml:space="preserve">                        v</w:t>
        <w:br/>
        <w:t xml:space="preserve">                  (4.2 Insert Request Record) ===&gt; [D3: lending_requests]</w:t>
        <w:br/>
        <w:t xml:space="preserve">                        |                           (Status: 'Pending')</w:t>
        <w:br/>
        <w:t xml:space="preserve">                        v</w:t>
        <w:br/>
        <w:t xml:space="preserve">  [Owner] ======&gt; (4.3 Review Request Decision)</w:t>
        <w:br/>
        <w:t xml:space="preserve">                        |</w:t>
        <w:br/>
        <w:t xml:space="preserve">            +-----------+-----------+</w:t>
        <w:br/>
        <w:t xml:space="preserve">            | Decision: Approved    | Decision: Rejected</w:t>
        <w:br/>
        <w:t xml:space="preserve">            v                       v</w:t>
        <w:br/>
        <w:t xml:space="preserve">      (4.4 Mark Request Approved)  (4.5 Mark Request Rejected)</w:t>
        <w:br/>
        <w:t xml:space="preserve">            |                             |</w:t>
        <w:br/>
        <w:t xml:space="preserve">            +-&gt; Update [D2: items] status |</w:t>
        <w:br/>
        <w:t xml:space="preserve">            |   from 'Available' to 'Lent'|</w:t>
        <w:br/>
        <w:t xml:space="preserve">            v                             v</w:t>
        <w:br/>
        <w:t xml:space="preserve">      (4.6 Confirm Return) &lt;========= [Owner completes physical return]</w:t>
        <w:br/>
        <w:t xml:space="preserve">            |</w:t>
        <w:br/>
        <w:t xml:space="preserve">            +-&gt; Update [D2: items] status back to 'Available'</w:t>
      </w:r>
    </w:p>
    <w:p>
      <w:pPr>
        <w:keepNext/>
        <w:spacing w:before="200" w:after="40" w:line="288" w:lineRule="auto"/>
      </w:pPr>
      <w:r>
        <w:rPr>
          <w:rFonts w:ascii="Times New Roman" w:hAnsi="Times New Roman"/>
          <w:b/>
          <w:color w:val="000000"/>
          <w:sz w:val="26"/>
        </w:rPr>
        <w:t>3. Unified Modeling Language (UML) Diagrams</w:t>
      </w:r>
    </w:p>
    <w:p>
      <w:pPr>
        <w:spacing w:line="360" w:lineRule="auto" w:after="80"/>
        <w:jc w:val="both"/>
      </w:pPr>
      <w:r>
        <w:rPr>
          <w:rFonts w:ascii="Times New Roman" w:hAnsi="Times New Roman"/>
          <w:color w:val="000000"/>
          <w:sz w:val="24"/>
        </w:rPr>
        <w:t>Object-oriented analysis models visualize user interactions, structural classes, and data relationships within the software.</w:t>
      </w:r>
    </w:p>
    <w:p>
      <w:pPr>
        <w:keepNext/>
        <w:spacing w:before="120" w:after="40" w:line="288" w:lineRule="auto"/>
      </w:pPr>
      <w:r>
        <w:rPr>
          <w:rFonts w:ascii="Times New Roman" w:hAnsi="Times New Roman"/>
          <w:b/>
          <w:color w:val="000000"/>
          <w:sz w:val="23"/>
        </w:rPr>
        <w:t>3.1 UML Use Case Diagram</w:t>
      </w:r>
    </w:p>
    <w:p>
      <w:pPr>
        <w:spacing w:line="360" w:lineRule="auto" w:after="80"/>
        <w:jc w:val="both"/>
      </w:pPr>
      <w:r>
        <w:rPr>
          <w:rFonts w:ascii="Times New Roman" w:hAnsi="Times New Roman"/>
          <w:color w:val="000000"/>
          <w:sz w:val="24"/>
        </w:rPr>
        <w:t>The Use Case Diagram defines the functional scope of the platform and illustrates the specific actions performed by registered community members:</w:t>
      </w:r>
    </w:p>
    <w:p>
      <w:pPr>
        <w:keepNext/>
        <w:spacing w:before="120" w:after="40"/>
      </w:pPr>
      <w:r>
        <w:rPr>
          <w:rFonts w:ascii="Times New Roman" w:hAnsi="Times New Roman"/>
          <w:b/>
          <w:color w:val="000000"/>
          <w:sz w:val="21"/>
        </w:rPr>
        <w:t>Figure 3.1: UML Use Case Diagram</w:t>
      </w:r>
    </w:p>
    <w:p>
      <w:pPr>
        <w:spacing w:line="240" w:lineRule="auto" w:after="120"/>
        <w:jc w:val="left"/>
      </w:pPr>
      <w:r>
        <w:rPr>
          <w:rFonts w:ascii="Courier New" w:hAnsi="Courier New"/>
          <w:color w:val="000000"/>
          <w:sz w:val="16"/>
        </w:rPr>
        <w:t xml:space="preserve">   ACTORS                                      USE CASES</w:t>
        <w:br/>
        <w:t xml:space="preserve">  +--------+                           +-------------------------+</w:t>
        <w:br/>
        <w:t xml:space="preserve">  |        | ------- (Registers / Logins) --------&gt; ( UC-01: User Authentication )</w:t>
        <w:br/>
        <w:t xml:space="preserve">  |        |</w:t>
        <w:br/>
        <w:t xml:space="preserve">  |        | ------- (Uploads New Item) ----------&gt; ( UC-02: Publish Item Listing )</w:t>
        <w:br/>
        <w:t xml:space="preserve">  | ITEM   |</w:t>
        <w:br/>
        <w:t xml:space="preserve">  | OWNER  | ------- (Views Borrow Requests) -----&gt; ( UC-03: Manage Borrow Requests)</w:t>
        <w:br/>
        <w:t xml:space="preserve">  |        |                                                   |</w:t>
        <w:br/>
        <w:t xml:space="preserve">  |        | ------- (Approves / Rejects) --------&gt; [ &lt;&lt;includes&gt;&gt; UC-03 ]</w:t>
        <w:br/>
        <w:t xml:space="preserve">  |        |</w:t>
        <w:br/>
        <w:t xml:space="preserve">  |        | ------- (Confirms Return) -----------&gt; ( UC-04: Mark Item Returned )</w:t>
        <w:br/>
        <w:t xml:space="preserve">  +--------+</w:t>
        <w:br/>
        <w:t xml:space="preserve">                                       +-------------------------+</w:t>
        <w:br/>
        <w:t xml:space="preserve">  +--------+</w:t>
        <w:br/>
        <w:t xml:space="preserve">  |        | ------- (Searches Catalog) ----------&gt; ( UC-05: Search &amp; Filter Items)</w:t>
        <w:br/>
        <w:t xml:space="preserve">  |BORROWER|</w:t>
        <w:br/>
        <w:t xml:space="preserve">  |        | ------- (Submits Borrow Request) ----&gt; ( UC-06: Request Resource )</w:t>
        <w:br/>
        <w:t xml:space="preserve">  |        |</w:t>
        <w:br/>
        <w:t xml:space="preserve">  |        | ------- (Views Request History) -----&gt; ( UC-07: Track Loan Status )</w:t>
        <w:br/>
        <w:t xml:space="preserve">  +--------+</w:t>
      </w:r>
    </w:p>
    <w:p>
      <w:pPr>
        <w:keepNext/>
        <w:spacing w:before="120" w:after="40" w:line="288" w:lineRule="auto"/>
      </w:pPr>
      <w:r>
        <w:rPr>
          <w:rFonts w:ascii="Times New Roman" w:hAnsi="Times New Roman"/>
          <w:b/>
          <w:color w:val="000000"/>
          <w:sz w:val="23"/>
        </w:rPr>
        <w:t>3.2 UML Class Diagram</w:t>
      </w:r>
    </w:p>
    <w:p>
      <w:pPr>
        <w:spacing w:line="360" w:lineRule="auto" w:after="80"/>
        <w:jc w:val="both"/>
      </w:pPr>
      <w:r>
        <w:rPr>
          <w:rFonts w:ascii="Times New Roman" w:hAnsi="Times New Roman"/>
          <w:color w:val="000000"/>
          <w:sz w:val="24"/>
        </w:rPr>
        <w:t>The Class Diagram models the core entity objects, their attributes, visibility, operational methods, and structural associations:</w:t>
      </w:r>
    </w:p>
    <w:p>
      <w:pPr>
        <w:keepNext/>
        <w:spacing w:before="120" w:after="40"/>
      </w:pPr>
      <w:r>
        <w:rPr>
          <w:rFonts w:ascii="Times New Roman" w:hAnsi="Times New Roman"/>
          <w:b/>
          <w:color w:val="000000"/>
          <w:sz w:val="21"/>
        </w:rPr>
        <w:t>Figure 3.2: UML Class Diagram</w:t>
      </w:r>
    </w:p>
    <w:p>
      <w:pPr>
        <w:spacing w:line="240" w:lineRule="auto" w:after="120"/>
        <w:jc w:val="left"/>
      </w:pPr>
      <w:r>
        <w:rPr>
          <w:rFonts w:ascii="Courier New" w:hAnsi="Courier New"/>
          <w:color w:val="000000"/>
          <w:sz w:val="16"/>
        </w:rPr>
        <w:t xml:space="preserve">  +-------------------------------------+          +-------------------------------------+</w:t>
        <w:br/>
        <w:t xml:space="preserve">  |                User                 |          |                Item                 |</w:t>
        <w:br/>
        <w:t xml:space="preserve">  +-------------------------------------+          +-------------------------------------+</w:t>
        <w:br/>
        <w:t xml:space="preserve">  | - id: Integer [PK]                  | 1      * | - id: Integer [PK]                  |</w:t>
        <w:br/>
        <w:t xml:space="preserve">  | - name: String                      | -------- | - title: String                     |</w:t>
        <w:br/>
        <w:t xml:space="preserve">  | - email: String                     |  Owns    | - category: String                  |</w:t>
        <w:br/>
        <w:t xml:space="preserve">  | - password_hash: String             |          | - description: String               |</w:t>
        <w:br/>
        <w:t xml:space="preserve">  | - phone: String                     |          | - image_url: String                 |</w:t>
        <w:br/>
        <w:t xml:space="preserve">  | - address: String                   |          | - availability: String = 'Available'|</w:t>
        <w:br/>
        <w:t xml:space="preserve">  | - created_at: Timestamp             |          | - owner_id: Integer [FK]            |</w:t>
        <w:br/>
        <w:t xml:space="preserve">  +-------------------------------------+          +-------------------------------------+</w:t>
        <w:br/>
        <w:t xml:space="preserve">  | + register(): Boolean               |          | + create_listing(): Boolean         |</w:t>
        <w:br/>
        <w:t xml:space="preserve">  | + login(password): Boolean          |          | + update_status(status): Boolean    |</w:t>
        <w:br/>
        <w:t xml:space="preserve">  | + view_dashboard(): List            |          | + delete_listing(): Boolean         |</w:t>
        <w:br/>
        <w:t xml:space="preserve">  +-------------------------------------+          +-------------------------------------+</w:t>
        <w:br/>
        <w:t xml:space="preserve">                     | 1                                              | 1</w:t>
        <w:br/>
        <w:t xml:space="preserve">                     | Initiates                                      | Subject of</w:t>
        <w:br/>
        <w:t xml:space="preserve">                     v *                                              v *</w:t>
        <w:br/>
        <w:t xml:space="preserve">  +--------------------------------------------------------------------------------------+</w:t>
        <w:br/>
        <w:t xml:space="preserve">  |                                   LendingRequest                                     |</w:t>
        <w:br/>
        <w:t xml:space="preserve">  +--------------------------------------------------------------------------------------+</w:t>
        <w:br/>
        <w:t xml:space="preserve">  | - id: Integer [PK]                                                                   |</w:t>
        <w:br/>
        <w:t xml:space="preserve">  | - item_id: Integer [FK -&gt; Item.id]                                                   |</w:t>
        <w:br/>
        <w:t xml:space="preserve">  | - borrower_id: Integer [FK -&gt; User.id]                                               |</w:t>
        <w:br/>
        <w:t xml:space="preserve">  | - owner_id: Integer [FK -&gt; User.id]                                                  |</w:t>
        <w:br/>
        <w:t xml:space="preserve">  | - status: String = 'Pending'  {'Pending', 'Approved', 'Rejected', 'Returned'}         |</w:t>
        <w:br/>
        <w:t xml:space="preserve">  | - request_date: Timestamp                                                            |</w:t>
        <w:br/>
        <w:t xml:space="preserve">  +--------------------------------------------------------------------------------------+</w:t>
        <w:br/>
        <w:t xml:space="preserve">  | + submit_request(): Boolean                                                          |</w:t>
        <w:br/>
        <w:t xml:space="preserve">  | + approve_request(): Boolean                                                         |</w:t>
        <w:br/>
        <w:t xml:space="preserve">  | + reject_request(): Boolean                                                          |</w:t>
        <w:br/>
        <w:t xml:space="preserve">  | + complete_return(): Boolean                                                         |</w:t>
        <w:br/>
        <w:t xml:space="preserve">  +--------------------------------------------------------------------------------------+</w:t>
      </w:r>
    </w:p>
    <w:p>
      <w:pPr>
        <w:keepNext/>
        <w:spacing w:before="200" w:after="40" w:line="288" w:lineRule="auto"/>
      </w:pPr>
      <w:r>
        <w:rPr>
          <w:rFonts w:ascii="Times New Roman" w:hAnsi="Times New Roman"/>
          <w:b/>
          <w:color w:val="000000"/>
          <w:sz w:val="26"/>
        </w:rPr>
        <w:t>4. Design Rationale and Trade-off Studies</w:t>
      </w:r>
    </w:p>
    <w:p>
      <w:pPr>
        <w:spacing w:line="360" w:lineRule="auto" w:after="80"/>
        <w:jc w:val="both"/>
      </w:pPr>
      <w:r>
        <w:rPr>
          <w:rFonts w:ascii="Times New Roman" w:hAnsi="Times New Roman"/>
          <w:color w:val="000000"/>
          <w:sz w:val="24"/>
        </w:rPr>
        <w:t>Every core architectural decision was evaluated through formal engineering trade-off studies balancing complexity, performance, development velocity, and maintenance costs.</w:t>
      </w:r>
    </w:p>
    <w:p>
      <w:pPr>
        <w:keepNext/>
        <w:spacing w:before="120" w:after="40" w:line="288" w:lineRule="auto"/>
      </w:pPr>
      <w:r>
        <w:rPr>
          <w:rFonts w:ascii="Times New Roman" w:hAnsi="Times New Roman"/>
          <w:b/>
          <w:color w:val="000000"/>
          <w:sz w:val="23"/>
        </w:rPr>
        <w:t>4.1 Architecture: Modular Monolith vs. Microservices</w:t>
      </w:r>
    </w:p>
    <w:p>
      <w:pPr>
        <w:spacing w:line="360" w:lineRule="auto" w:after="80"/>
        <w:jc w:val="both"/>
      </w:pPr>
      <w:r>
        <w:rPr>
          <w:rFonts w:ascii="Times New Roman" w:hAnsi="Times New Roman"/>
          <w:color w:val="000000"/>
          <w:sz w:val="24"/>
        </w:rPr>
        <w:t>We evaluated building the platform as a distributed microservices network versus a clean modular monolithic web architecture:</w:t>
      </w:r>
    </w:p>
    <w:p>
      <w:pPr>
        <w:pStyle w:val="ListBullet"/>
        <w:spacing w:line="360" w:lineRule="auto" w:after="60"/>
        <w:jc w:val="both"/>
      </w:pPr>
      <w:r>
        <w:rPr>
          <w:rFonts w:ascii="Times New Roman" w:hAnsi="Times New Roman"/>
          <w:b/>
          <w:color w:val="000000"/>
          <w:sz w:val="24"/>
        </w:rPr>
        <w:t xml:space="preserve">Trade-off Evaluation: </w:t>
      </w:r>
      <w:r>
        <w:rPr>
          <w:rFonts w:ascii="Times New Roman" w:hAnsi="Times New Roman"/>
          <w:color w:val="000000"/>
          <w:sz w:val="24"/>
        </w:rPr>
        <w:t>Microservices introduce significant network latency, distributed transaction overhead (two-phase commits), and multi-container deployment costs. For a community-scale platform, a modular monolith implemented in Flask provides near-zero inter-module latency, ACID database transaction boundaries, and simple single-container cloud hosting.</w:t>
      </w:r>
    </w:p>
    <w:p>
      <w:pPr>
        <w:keepNext/>
        <w:spacing w:before="120" w:after="40" w:line="288" w:lineRule="auto"/>
      </w:pPr>
      <w:r>
        <w:rPr>
          <w:rFonts w:ascii="Times New Roman" w:hAnsi="Times New Roman"/>
          <w:b/>
          <w:color w:val="000000"/>
          <w:sz w:val="23"/>
        </w:rPr>
        <w:t>4.2 Frontend Strategy: Hybrid SSR + REST API vs. Pure SPA</w:t>
      </w:r>
    </w:p>
    <w:p>
      <w:pPr>
        <w:spacing w:line="360" w:lineRule="auto" w:after="80"/>
        <w:jc w:val="both"/>
      </w:pPr>
      <w:r>
        <w:rPr>
          <w:rFonts w:ascii="Times New Roman" w:hAnsi="Times New Roman"/>
          <w:color w:val="000000"/>
          <w:sz w:val="24"/>
        </w:rPr>
        <w:t>We evaluated a pure React Single Page Application (SPA) against a hybrid architecture featuring server-rendered Jinja2 templates for the web portal and a parallel JSON REST API for mobile clients:</w:t>
      </w:r>
    </w:p>
    <w:p>
      <w:pPr>
        <w:pStyle w:val="ListBullet"/>
        <w:spacing w:line="360" w:lineRule="auto" w:after="60"/>
        <w:jc w:val="both"/>
      </w:pPr>
      <w:r>
        <w:rPr>
          <w:rFonts w:ascii="Times New Roman" w:hAnsi="Times New Roman"/>
          <w:b/>
          <w:color w:val="000000"/>
          <w:sz w:val="24"/>
        </w:rPr>
        <w:t xml:space="preserve">Trade-off Evaluation: </w:t>
      </w:r>
      <w:r>
        <w:rPr>
          <w:rFonts w:ascii="Times New Roman" w:hAnsi="Times New Roman"/>
          <w:color w:val="000000"/>
          <w:sz w:val="24"/>
        </w:rPr>
        <w:t>A pure client-side SPA requires heavy JavaScript download bundles, client routing libraries, and complex token refresh logic, which slows down initial page loads on low-end mobile networks. The hybrid SSR approach delivers instant initial page loads (&lt;300ms) with zero client bundle compilation, while the REST API seamlessly powers the companion React Native mobile app.</w:t>
      </w:r>
    </w:p>
    <w:p>
      <w:pPr>
        <w:keepNext/>
        <w:spacing w:before="120" w:after="40" w:line="288" w:lineRule="auto"/>
      </w:pPr>
      <w:r>
        <w:rPr>
          <w:rFonts w:ascii="Times New Roman" w:hAnsi="Times New Roman"/>
          <w:b/>
          <w:color w:val="000000"/>
          <w:sz w:val="23"/>
        </w:rPr>
        <w:t>4.3 Quantitative Trade-off Decision Matrix</w:t>
      </w:r>
    </w:p>
    <w:p>
      <w:pPr>
        <w:spacing w:line="360" w:lineRule="auto" w:after="80"/>
        <w:jc w:val="both"/>
      </w:pPr>
      <w:r>
        <w:rPr>
          <w:rFonts w:ascii="Times New Roman" w:hAnsi="Times New Roman"/>
          <w:color w:val="000000"/>
          <w:sz w:val="24"/>
        </w:rPr>
        <w:t>The following decision matrix summarizes the weighted evaluation across candidate architectures: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Evaluation Criteria</w:t>
            </w:r>
          </w:p>
        </w:tc>
        <w:tc>
          <w:tcPr>
            <w:tcW w:type="dxa" w:w="1152"/>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Weight</w:t>
            </w:r>
          </w:p>
        </w:tc>
        <w:tc>
          <w:tcPr>
            <w:tcW w:type="dxa" w:w="3168"/>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Modular Monolith (Selected)</w:t>
            </w:r>
          </w:p>
        </w:tc>
        <w:tc>
          <w:tcPr>
            <w:tcW w:type="dxa" w:w="3168"/>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Microservices Architecture</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Development Velocity</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25%</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9 / 10 (Rapid sprint cycles)</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5 / 10 (Heavy setup overhead)</w:t>
            </w:r>
          </w:p>
        </w:tc>
      </w:tr>
      <w:tr>
        <w:tc>
          <w:tcPr>
            <w:tcW w:type="dxa" w:w="259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Operational Simplicity</w:t>
            </w:r>
          </w:p>
        </w:tc>
        <w:tc>
          <w:tcPr>
            <w:tcW w:type="dxa" w:w="115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20%</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10 / 10 (Single deployment)</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4 / 10 (Multi-container orchestration)</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Hosting &amp; Cloud Cost</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20%</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10 / 10 (Free tier compatible)</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4 / 10 (Multiple VMs/clusters needed)</w:t>
            </w:r>
          </w:p>
        </w:tc>
      </w:tr>
      <w:tr>
        <w:tc>
          <w:tcPr>
            <w:tcW w:type="dxa" w:w="259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Transactional Consistency</w:t>
            </w:r>
          </w:p>
        </w:tc>
        <w:tc>
          <w:tcPr>
            <w:tcW w:type="dxa" w:w="115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20%</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10 / 10 (ACID DB transactions)</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6 / 10 (Eventual consistency issues)</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Scalability Ceiling</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15%</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8 / 10 (Sufficient for communities)</w:t>
            </w:r>
          </w:p>
        </w:tc>
        <w:tc>
          <w:tcPr>
            <w:tcW w:type="dxa" w:w="3168"/>
            <w:tcMar>
              <w:top w:w="30" w:type="dxa"/>
              <w:bottom w:w="30" w:type="dxa"/>
              <w:left w:w="50" w:type="dxa"/>
              <w:right w:w="50" w:type="dxa"/>
            </w:tcMar>
          </w:tcPr>
          <w:p>
            <w:pPr>
              <w:spacing w:before="20" w:after="20" w:line="252" w:lineRule="auto"/>
            </w:pPr>
            <w:r>
              <w:rPr>
                <w:rFonts w:ascii="Times New Roman" w:hAnsi="Times New Roman"/>
                <w:color w:val="000000"/>
                <w:sz w:val="17"/>
              </w:rPr>
              <w:t>10 / 10 (Hyperscale enterprise)</w:t>
            </w:r>
          </w:p>
        </w:tc>
      </w:tr>
      <w:tr>
        <w:tc>
          <w:tcPr>
            <w:tcW w:type="dxa" w:w="259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Weighted Final Score</w:t>
            </w:r>
          </w:p>
        </w:tc>
        <w:tc>
          <w:tcPr>
            <w:tcW w:type="dxa" w:w="115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100%</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9.4 / 10.0 (WINNER)</w:t>
            </w:r>
          </w:p>
        </w:tc>
        <w:tc>
          <w:tcPr>
            <w:tcW w:type="dxa" w:w="3168"/>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5.5 / 10.0</w:t>
            </w:r>
          </w:p>
        </w:tc>
      </w:tr>
    </w:tbl>
    <w:p>
      <w:pPr>
        <w:keepNext/>
        <w:spacing w:before="200" w:after="40" w:line="288" w:lineRule="auto"/>
      </w:pPr>
      <w:r>
        <w:rPr>
          <w:rFonts w:ascii="Times New Roman" w:hAnsi="Times New Roman"/>
          <w:b/>
          <w:color w:val="000000"/>
          <w:sz w:val="26"/>
        </w:rPr>
        <w:t>5. Tools, Design Standards, and Traceability</w:t>
      </w:r>
    </w:p>
    <w:p>
      <w:pPr>
        <w:spacing w:line="360" w:lineRule="auto" w:after="80"/>
        <w:jc w:val="both"/>
      </w:pPr>
      <w:r>
        <w:rPr>
          <w:rFonts w:ascii="Times New Roman" w:hAnsi="Times New Roman"/>
          <w:color w:val="000000"/>
          <w:sz w:val="24"/>
        </w:rPr>
        <w:t>The software design conforms to recognized academic and industrial software engineering standards:</w:t>
      </w:r>
    </w:p>
    <w:p>
      <w:pPr>
        <w:pStyle w:val="ListBullet"/>
        <w:spacing w:line="360" w:lineRule="auto" w:after="60"/>
        <w:jc w:val="both"/>
      </w:pPr>
      <w:r>
        <w:rPr>
          <w:rFonts w:ascii="Times New Roman" w:hAnsi="Times New Roman"/>
          <w:b/>
          <w:color w:val="000000"/>
          <w:sz w:val="24"/>
        </w:rPr>
        <w:t xml:space="preserve">Design Standards: </w:t>
      </w:r>
      <w:r>
        <w:rPr>
          <w:rFonts w:ascii="Times New Roman" w:hAnsi="Times New Roman"/>
          <w:color w:val="000000"/>
          <w:sz w:val="24"/>
        </w:rPr>
        <w:t>Follows the IEEE 1016-2009 Standard for Software Design Descriptions. Python code adheres to PEP 8 standards, and web views conform to W3C HTML5 recommendations.</w:t>
      </w:r>
    </w:p>
    <w:p>
      <w:pPr>
        <w:pStyle w:val="ListBullet"/>
        <w:spacing w:line="360" w:lineRule="auto" w:after="60"/>
        <w:jc w:val="both"/>
      </w:pPr>
      <w:r>
        <w:rPr>
          <w:rFonts w:ascii="Times New Roman" w:hAnsi="Times New Roman"/>
          <w:b/>
          <w:color w:val="000000"/>
          <w:sz w:val="24"/>
        </w:rPr>
        <w:t xml:space="preserve">Modeling Tools: </w:t>
      </w:r>
      <w:r>
        <w:rPr>
          <w:rFonts w:ascii="Times New Roman" w:hAnsi="Times New Roman"/>
          <w:color w:val="000000"/>
          <w:sz w:val="24"/>
        </w:rPr>
        <w:t>System models and UML diagrams were conceptualized and validated using draw.io and Mermaid modeling syntax.</w:t>
      </w:r>
    </w:p>
    <w:p>
      <w:pPr>
        <w:pStyle w:val="ListBullet"/>
        <w:spacing w:line="360" w:lineRule="auto" w:after="60"/>
        <w:jc w:val="both"/>
      </w:pPr>
      <w:r>
        <w:rPr>
          <w:rFonts w:ascii="Times New Roman" w:hAnsi="Times New Roman"/>
          <w:b/>
          <w:color w:val="000000"/>
          <w:sz w:val="24"/>
        </w:rPr>
        <w:t xml:space="preserve">Traceability Matrix: </w:t>
      </w:r>
      <w:r>
        <w:rPr>
          <w:rFonts w:ascii="Times New Roman" w:hAnsi="Times New Roman"/>
          <w:color w:val="000000"/>
          <w:sz w:val="24"/>
        </w:rPr>
        <w:t>Every design artifact maps directly to specific functional requirements (e.g., Use Case UC-03 maps to borrowing requirements, and Class LendingRequest maps to Table lending_requests), ensuring complete design-to-code traceability.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Second Review Report — System Design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