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color w:val="000000"/>
          <w:sz w:val="34"/>
        </w:rPr>
        <w:t>DATABASE DESIGN, ER MODELING AND DATA DICTIONARY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i/>
          <w:color w:val="000000"/>
          <w:sz w:val="21"/>
        </w:rPr>
        <w:t>Project Work: Community Lending Platform for Sharing and Borrowing Household Resources — Second Review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1. Database Management System (DBMS) Selection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database tier serves as the persistence foundation for the Community Lending Platform. The platform manages multi-user resource transactions, lending approvals, and user accounts. To guarantee reliable transaction processing, data integrity, and flexible cloud hosting, a relational database architecture powered by MySQL 8.0 and hosted on TiDB Serverless Cloud was selected.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1.1 Relational (RDBMS) vs. NoSQL (MongoDB) Trade-off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We conducted a trade-off evaluation comparing Relational DBMS against Document NoSQL DBMS: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ACID Compliance and Atomic Transactions: </w:t>
      </w:r>
      <w:r>
        <w:rPr>
          <w:rFonts w:ascii="Times New Roman" w:hAnsi="Times New Roman"/>
          <w:color w:val="000000"/>
          <w:sz w:val="24"/>
        </w:rPr>
        <w:t>Community lending requires absolute consistency. When an owner approves a borrow request, the request status must become 'Approved' and the item availability must update to 'Lent' simultaneously. Relational DBMS provides atomic transactions, whereas NoSQL requires complex multi-document coordination.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Referential Integrity Constraints: </w:t>
      </w:r>
      <w:r>
        <w:rPr>
          <w:rFonts w:ascii="Times New Roman" w:hAnsi="Times New Roman"/>
          <w:color w:val="000000"/>
          <w:sz w:val="24"/>
        </w:rPr>
        <w:t>Foreign keys (`borrower_id`, `owner_id`, `item_id`) prevent dangling pointers. If an item or user record is referenced by an active lending request, foreign key constraints prevent accidental orphaned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Evaluation Metric</w:t>
            </w:r>
          </w:p>
        </w:tc>
        <w:tc>
          <w:tcPr>
            <w:tcW w:type="dxa" w:w="360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Relational (MySQL / TiDB)</w:t>
            </w:r>
          </w:p>
        </w:tc>
        <w:tc>
          <w:tcPr>
            <w:tcW w:type="dxa" w:w="360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Document NoSQL (MongoDB)</w:t>
            </w:r>
          </w:p>
        </w:tc>
      </w:tr>
      <w:tr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Data Model &amp; Schema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Strict structured schemas with table relationships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Dynamic schema-less JSON document collections</w:t>
            </w:r>
          </w:p>
        </w:tc>
      </w:tr>
      <w:tr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Transaction Integrity</w:t>
            </w:r>
          </w:p>
        </w:tc>
        <w:tc>
          <w:tcPr>
            <w:tcW w:type="dxa" w:w="360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Full ACID guarantees with foreign key constraints</w:t>
            </w:r>
          </w:p>
        </w:tc>
        <w:tc>
          <w:tcPr>
            <w:tcW w:type="dxa" w:w="360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Single-document ACID; eventual consistency across docs</w:t>
            </w:r>
          </w:p>
        </w:tc>
      </w:tr>
      <w:tr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Relational Joins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Native, high-performance SQL JOIN operations</w:t>
            </w:r>
          </w:p>
        </w:tc>
        <w:tc>
          <w:tcPr>
            <w:tcW w:type="dxa" w:w="36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Application-level aggregation pipelines ($lookup)</w:t>
            </w:r>
          </w:p>
        </w:tc>
      </w:tr>
      <w:tr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Suitability for Lending</w:t>
            </w:r>
          </w:p>
        </w:tc>
        <w:tc>
          <w:tcPr>
            <w:tcW w:type="dxa" w:w="360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Ideal for structured loans, user IDs, and item records</w:t>
            </w:r>
          </w:p>
        </w:tc>
        <w:tc>
          <w:tcPr>
            <w:tcW w:type="dxa" w:w="360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Excessive complexity for maintaining loan relationships</w:t>
            </w:r>
          </w:p>
        </w:tc>
      </w:tr>
    </w:tbl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1.2 TiDB Serverless Cloud Infrastructure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TiDB Serverless is a cloud-native, distributed SQL database engineered by PingCAP that speaks the native MySQL 8.0 wire protocol. It delivers auto-scaling computing nodes, automatic daily backups, built-in TLS encryption, and high availability across multiple availability zones without requiring manual database administration.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2. Conceptual Data Model and Entity-Relationship (ER) Diagram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conceptual data model captures the core real-world entities within the community lending domain and defines the cardinality of their relationships.</w:t>
      </w:r>
    </w:p>
    <w:p>
      <w:pPr>
        <w:keepNext/>
        <w:spacing w:before="120" w:after="40"/>
      </w:pPr>
      <w:r>
        <w:rPr>
          <w:rFonts w:ascii="Times New Roman" w:hAnsi="Times New Roman"/>
          <w:b/>
          <w:color w:val="000000"/>
          <w:sz w:val="21"/>
        </w:rPr>
        <w:t>Figure 2.1: Entity-Relationship Diagram (ERD)</w:t>
      </w:r>
    </w:p>
    <w:p>
      <w:pPr>
        <w:spacing w:line="240" w:lineRule="auto" w:after="120"/>
        <w:jc w:val="left"/>
      </w:pPr>
      <w:r>
        <w:rPr>
          <w:rFonts w:ascii="Courier New" w:hAnsi="Courier New"/>
          <w:color w:val="000000"/>
          <w:sz w:val="16"/>
        </w:rPr>
        <w:t xml:space="preserve">  +------------------+                    +------------------+</w:t>
        <w:br/>
        <w:t xml:space="preserve">  |      USERS       | 1                * |      ITEMS       |</w:t>
        <w:br/>
        <w:t xml:space="preserve">  |------------------|--------------------|------------------|</w:t>
        <w:br/>
        <w:t xml:space="preserve">  | PK  id           |      Owns / Lists  | PK  id           |</w:t>
        <w:br/>
        <w:t xml:space="preserve">  |     name         |                    | FK  owner_id     |</w:t>
        <w:br/>
        <w:t xml:space="preserve">  |     email        |                    |     item_name    |</w:t>
        <w:br/>
        <w:t xml:space="preserve">  |     password_hash|                    |     category     |</w:t>
        <w:br/>
        <w:t xml:space="preserve">  |     phone        |                    |     availability |</w:t>
        <w:br/>
        <w:t xml:space="preserve">  +------------------+                    +------------------+</w:t>
        <w:br/>
        <w:t xml:space="preserve">          | 1                                      | 1</w:t>
        <w:br/>
        <w:t xml:space="preserve">          | Initiates                              | Subject of</w:t>
        <w:br/>
        <w:t xml:space="preserve">          v *                                      v *</w:t>
        <w:br/>
        <w:t xml:space="preserve">  +----------------------------------------------------------+</w:t>
        <w:br/>
        <w:t xml:space="preserve">  |                     LENDING_REQUESTS                     |</w:t>
        <w:br/>
        <w:t xml:space="preserve">  |----------------------------------------------------------|</w:t>
        <w:br/>
        <w:t xml:space="preserve">  | PK  id                                                   |</w:t>
        <w:br/>
        <w:t xml:space="preserve">  | FK  item_id      (References items.id)                   |</w:t>
        <w:br/>
        <w:t xml:space="preserve">  | FK  borrower_id  (References users.id)                   |</w:t>
        <w:br/>
        <w:t xml:space="preserve">  | FK  owner_id     (References users.id)                   |</w:t>
        <w:br/>
        <w:t xml:space="preserve">  |     status       ('Pending', 'Approved', 'Rejected')     |</w:t>
        <w:br/>
        <w:t xml:space="preserve">  |     requested_at (Timestamp)                             |</w:t>
        <w:br/>
        <w:t xml:space="preserve">  +----------------------------------------------------------+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2.1 Entity Relationship Cardinalities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User to Items (1 : N): </w:t>
      </w:r>
      <w:r>
        <w:rPr>
          <w:rFonts w:ascii="Times New Roman" w:hAnsi="Times New Roman"/>
          <w:color w:val="000000"/>
          <w:sz w:val="24"/>
        </w:rPr>
        <w:t>A single community member can list zero, one, or many household items for sharing. Every item must be owned by exactly one registered user.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Item to Lending Requests (1 : N): </w:t>
      </w:r>
      <w:r>
        <w:rPr>
          <w:rFonts w:ascii="Times New Roman" w:hAnsi="Times New Roman"/>
          <w:color w:val="000000"/>
          <w:sz w:val="24"/>
        </w:rPr>
        <w:t>A listed item can receive multiple borrow requests over time from different community members.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User to Lending Requests (1 : N): </w:t>
      </w:r>
      <w:r>
        <w:rPr>
          <w:rFonts w:ascii="Times New Roman" w:hAnsi="Times New Roman"/>
          <w:color w:val="000000"/>
          <w:sz w:val="24"/>
        </w:rPr>
        <w:t>A user can initiate multiple borrow requests as a borrower and receive multiple incoming requests as an item owner.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3. Logical Data Model and Schema Normalization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logical database design was normalized through the first three normal forms (1NF through 3NF) to eliminate data redundancy, prevent update anomalies, and optimize storage efficiency: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First Normal Form (1NF): </w:t>
      </w:r>
      <w:r>
        <w:rPr>
          <w:rFonts w:ascii="Times New Roman" w:hAnsi="Times New Roman"/>
          <w:color w:val="000000"/>
          <w:sz w:val="24"/>
        </w:rPr>
        <w:t>All table attributes contain only atomic, indivisible values. Multi-valued lists and repeating groups are eliminated. Every record is uniquely identified by a primary key (`id`).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Second Normal Form (2NF): </w:t>
      </w:r>
      <w:r>
        <w:rPr>
          <w:rFonts w:ascii="Times New Roman" w:hAnsi="Times New Roman"/>
          <w:color w:val="000000"/>
          <w:sz w:val="24"/>
        </w:rPr>
        <w:t>The schema satisfies 1NF, and all non-key columns depend entirely on the whole primary key. Because single-column auto-increment surrogate keys are used, partial key dependencies are completely eliminated.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Third Normal Form (3NF): </w:t>
      </w:r>
      <w:r>
        <w:rPr>
          <w:rFonts w:ascii="Times New Roman" w:hAnsi="Times New Roman"/>
          <w:color w:val="000000"/>
          <w:sz w:val="24"/>
        </w:rPr>
        <w:t>The schema satisfies 2NF and contains zero transitive dependencies. Non-key attributes depend only on the primary key and not on other non-key attributes (e.g., owner details are not duplicated inside the items table).</w:t>
      </w:r>
    </w:p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4. Physical Data Dictionary and Schema Specifications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The physical schema translates logical entities into structured relational tables with explicit data types, column lengths, default constraints, and foreign key relationships.</w:t>
      </w:r>
    </w:p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4.1 Data Dictionary: `users` Table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Stores registered community member credentials and contact information: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Field Name</w:t>
            </w:r>
          </w:p>
        </w:tc>
        <w:tc>
          <w:tcPr>
            <w:tcW w:type="dxa" w:w="158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Data Type</w:t>
            </w:r>
          </w:p>
        </w:tc>
        <w:tc>
          <w:tcPr>
            <w:tcW w:type="dxa" w:w="216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Constraints</w:t>
            </w:r>
          </w:p>
        </w:tc>
        <w:tc>
          <w:tcPr>
            <w:tcW w:type="dxa" w:w="115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Default</w:t>
            </w:r>
          </w:p>
        </w:tc>
        <w:tc>
          <w:tcPr>
            <w:tcW w:type="dxa" w:w="288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id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INT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PK, AUTO_INCREMENT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Unique member ID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name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VARCHAR(100)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Full name of the user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email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VARCHAR(120)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NULL, UNIQUE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Unique login email address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password_hash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Salted PBKDF2:SHA256 password hash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phone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VARCHAR(20)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NULLABLE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NULL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Member contact phone number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address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TEXT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NULLABLE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NULL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Residential community address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created_at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TIMESTAMP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CURRENT_TIMESTAMP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Account creation timestamp</w:t>
            </w:r>
          </w:p>
        </w:tc>
      </w:tr>
    </w:tbl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4.2 Data Dictionary: `items` Table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Stores household resources listed by community members: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Field Name</w:t>
            </w:r>
          </w:p>
        </w:tc>
        <w:tc>
          <w:tcPr>
            <w:tcW w:type="dxa" w:w="158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Data Type</w:t>
            </w:r>
          </w:p>
        </w:tc>
        <w:tc>
          <w:tcPr>
            <w:tcW w:type="dxa" w:w="216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Constraints</w:t>
            </w:r>
          </w:p>
        </w:tc>
        <w:tc>
          <w:tcPr>
            <w:tcW w:type="dxa" w:w="115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Default</w:t>
            </w:r>
          </w:p>
        </w:tc>
        <w:tc>
          <w:tcPr>
            <w:tcW w:type="dxa" w:w="288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id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INT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PK, AUTO_INCREMENT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Unique resource listing ID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owner_id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INT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NULL, FK (users.id)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References the item owner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item_name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VARCHAR(150)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Title of the listed item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category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VARCHAR(50)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Classification (Tools, Kitchen, etc.)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description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TEXT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NULLABLE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NULL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Usage guidelines and condition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image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VARCHAR(255)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NULLABLE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NULL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UUID image filename on server disk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availability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ENUM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'Available'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Status: 'Available' or 'Lent'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created_at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TIMESTAMP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CURRENT_TIMESTAMP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Listing creation timestamp</w:t>
            </w:r>
          </w:p>
        </w:tc>
      </w:tr>
    </w:tbl>
    <w:p>
      <w:pPr>
        <w:keepNext/>
        <w:spacing w:before="120" w:after="40" w:line="288" w:lineRule="auto"/>
      </w:pPr>
      <w:r>
        <w:rPr>
          <w:rFonts w:ascii="Times New Roman" w:hAnsi="Times New Roman"/>
          <w:b/>
          <w:color w:val="000000"/>
          <w:sz w:val="23"/>
        </w:rPr>
        <w:t>4.3 Data Dictionary: `lending_requests` Table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Tracks borrow requests and the multi-stage lending lifecycle: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Field Name</w:t>
            </w:r>
          </w:p>
        </w:tc>
        <w:tc>
          <w:tcPr>
            <w:tcW w:type="dxa" w:w="1584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Data Type</w:t>
            </w:r>
          </w:p>
        </w:tc>
        <w:tc>
          <w:tcPr>
            <w:tcW w:type="dxa" w:w="216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Constraints</w:t>
            </w:r>
          </w:p>
        </w:tc>
        <w:tc>
          <w:tcPr>
            <w:tcW w:type="dxa" w:w="1152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Default</w:t>
            </w:r>
          </w:p>
        </w:tc>
        <w:tc>
          <w:tcPr>
            <w:tcW w:type="dxa" w:w="2880"/>
            <w:shd w:fill="E2E8F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id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INT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PK, AUTO_INCREMENT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Unique request transaction ID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item_id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INT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NULL, FK (items.id)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References requested item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borrower_id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INT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NULL, FK (users.id)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References requesting borrower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owner_id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INT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NULL, FK (users.id)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None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References item owner</w:t>
            </w:r>
          </w:p>
        </w:tc>
      </w:tr>
      <w:tr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status</w:t>
            </w:r>
          </w:p>
        </w:tc>
        <w:tc>
          <w:tcPr>
            <w:tcW w:type="dxa" w:w="158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ENUM</w:t>
            </w:r>
          </w:p>
        </w:tc>
        <w:tc>
          <w:tcPr>
            <w:tcW w:type="dxa" w:w="216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'Pending'</w:t>
            </w:r>
          </w:p>
        </w:tc>
        <w:tc>
          <w:tcPr>
            <w:tcW w:type="dxa" w:w="288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'Pending', 'Approved', 'Rejected', 'Returned'</w:t>
            </w:r>
          </w:p>
        </w:tc>
      </w:tr>
      <w:tr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requested_at</w:t>
            </w:r>
          </w:p>
        </w:tc>
        <w:tc>
          <w:tcPr>
            <w:tcW w:type="dxa" w:w="158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TIMESTAMP</w:t>
            </w:r>
          </w:p>
        </w:tc>
        <w:tc>
          <w:tcPr>
            <w:tcW w:type="dxa" w:w="216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NOT NULL</w:t>
            </w:r>
          </w:p>
        </w:tc>
        <w:tc>
          <w:tcPr>
            <w:tcW w:type="dxa" w:w="115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CURRENT_TIMESTAMP</w:t>
            </w:r>
          </w:p>
        </w:tc>
        <w:tc>
          <w:tcPr>
            <w:tcW w:type="dxa" w:w="288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52" w:lineRule="auto"/>
            </w:pPr>
            <w:r>
              <w:rPr>
                <w:rFonts w:ascii="Times New Roman" w:hAnsi="Times New Roman"/>
                <w:color w:val="000000"/>
                <w:sz w:val="17"/>
              </w:rPr>
              <w:t>Request submission timestamp</w:t>
            </w:r>
          </w:p>
        </w:tc>
      </w:tr>
    </w:tbl>
    <w:p>
      <w:pPr>
        <w:keepNext/>
        <w:spacing w:before="200" w:after="40" w:line="288" w:lineRule="auto"/>
      </w:pPr>
      <w:r>
        <w:rPr>
          <w:rFonts w:ascii="Times New Roman" w:hAnsi="Times New Roman"/>
          <w:b/>
          <w:color w:val="000000"/>
          <w:sz w:val="26"/>
        </w:rPr>
        <w:t>5. Database Performance, Security, and Integrity</w:t>
      </w:r>
    </w:p>
    <w:p>
      <w:pPr>
        <w:spacing w:line="360" w:lineRule="auto" w:after="80"/>
        <w:jc w:val="both"/>
      </w:pPr>
      <w:r>
        <w:rPr>
          <w:rFonts w:ascii="Times New Roman" w:hAnsi="Times New Roman"/>
          <w:color w:val="000000"/>
          <w:sz w:val="24"/>
        </w:rPr>
        <w:t>To ensure operational stability, the database implements index optimization, referential integrity, and encryption controls: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B-Tree Indexing: </w:t>
      </w:r>
      <w:r>
        <w:rPr>
          <w:rFonts w:ascii="Times New Roman" w:hAnsi="Times New Roman"/>
          <w:color w:val="000000"/>
          <w:sz w:val="24"/>
        </w:rPr>
        <w:t>Clustered primary key indexes on `id` provide O(1) row lookups. Secondary indexes on `owner_id`, `borrower_id`, and `item_id` accelerate relational JOIN operations.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Referential Integrity: </w:t>
      </w:r>
      <w:r>
        <w:rPr>
          <w:rFonts w:ascii="Times New Roman" w:hAnsi="Times New Roman"/>
          <w:color w:val="000000"/>
          <w:sz w:val="24"/>
        </w:rPr>
        <w:t>Foreign key constraints enforced at the database level prevent orphan records and maintain relationship consistency across all transactions.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Encryption &amp; Security: </w:t>
      </w:r>
      <w:r>
        <w:rPr>
          <w:rFonts w:ascii="Times New Roman" w:hAnsi="Times New Roman"/>
          <w:color w:val="000000"/>
          <w:sz w:val="24"/>
        </w:rPr>
        <w:t>All database traffic over port 4000 is encrypted using TLS 1.2+. Passwords are protected using salted PBKDF2:SHA256 hashes, and all queries use parameterized statements to eliminate SQL injection risks.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18"/>
      </w:rPr>
      <w:t>Second Review Report — Database Design &amp; Data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