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Times New Roman" w:hAnsi="Times New Roman"/>
          <w:b/>
          <w:color w:val="000000"/>
          <w:sz w:val="32"/>
        </w:rPr>
        <w:t>1. DESIGN: SYSTEM DESIGN AND DATABASE DESIGN</w:t>
      </w:r>
    </w:p>
    <w:p>
      <w:pPr>
        <w:spacing w:before="0" w:after="200" w:line="276" w:lineRule="auto"/>
        <w:jc w:val="left"/>
      </w:pPr>
      <w:r>
        <w:rPr>
          <w:rFonts w:ascii="Times New Roman" w:hAnsi="Times New Roman"/>
          <w:i/>
          <w:color w:val="000000"/>
          <w:sz w:val="22"/>
        </w:rPr>
        <w:t>Project Work: Community Lending Platform for Sharing and Borrowing Household Resources — Second Review</w:t>
      </w:r>
    </w:p>
    <w:p>
      <w:pPr>
        <w:keepNext/>
        <w:spacing w:before="200" w:after="60" w:line="288" w:lineRule="auto"/>
      </w:pPr>
      <w:r>
        <w:rPr>
          <w:rFonts w:ascii="Times New Roman" w:hAnsi="Times New Roman"/>
          <w:b/>
          <w:color w:val="000000"/>
          <w:sz w:val="28"/>
        </w:rPr>
        <w:t>1. System Design Specification</w:t>
      </w:r>
    </w:p>
    <w:p>
      <w:pPr>
        <w:spacing w:line="360" w:lineRule="auto" w:after="80"/>
        <w:jc w:val="both"/>
      </w:pPr>
      <w:r>
        <w:rPr>
          <w:rFonts w:ascii="Times New Roman" w:hAnsi="Times New Roman"/>
          <w:color w:val="000000"/>
          <w:sz w:val="24"/>
        </w:rPr>
        <w:t>The system design defines the architecture and data flows of the Community Lending Platform. The platform provides an intuitive, neighborhood-level web application where community members can easily share household items, reduce waste, and borrow resources safely.</w:t>
      </w:r>
    </w:p>
    <w:p>
      <w:pPr>
        <w:keepNext/>
        <w:spacing w:before="140" w:after="40" w:line="288" w:lineRule="auto"/>
      </w:pPr>
      <w:r>
        <w:rPr>
          <w:rFonts w:ascii="Times New Roman" w:hAnsi="Times New Roman"/>
          <w:b/>
          <w:color w:val="000000"/>
          <w:sz w:val="26"/>
        </w:rPr>
        <w:t>1.1 Layered Architectural Design</w:t>
      </w:r>
    </w:p>
    <w:p>
      <w:pPr>
        <w:pStyle w:val="ListBullet"/>
        <w:spacing w:line="360" w:lineRule="auto" w:after="60"/>
        <w:jc w:val="both"/>
      </w:pPr>
      <w:r>
        <w:rPr>
          <w:rFonts w:ascii="Times New Roman" w:hAnsi="Times New Roman"/>
          <w:b/>
          <w:color w:val="000000"/>
          <w:sz w:val="24"/>
        </w:rPr>
        <w:t xml:space="preserve">Presentation Tier (Client): </w:t>
      </w:r>
      <w:r>
        <w:rPr>
          <w:rFonts w:ascii="Times New Roman" w:hAnsi="Times New Roman"/>
          <w:color w:val="000000"/>
          <w:sz w:val="24"/>
        </w:rPr>
        <w:t>Built with responsive HTML5, CSS3, and JavaScript, ensuring smooth operation across desktop, tablet, and mobile web browsers.</w:t>
      </w:r>
    </w:p>
    <w:p>
      <w:pPr>
        <w:pStyle w:val="ListBullet"/>
        <w:spacing w:line="360" w:lineRule="auto" w:after="60"/>
        <w:jc w:val="both"/>
      </w:pPr>
      <w:r>
        <w:rPr>
          <w:rFonts w:ascii="Times New Roman" w:hAnsi="Times New Roman"/>
          <w:b/>
          <w:color w:val="000000"/>
          <w:sz w:val="24"/>
        </w:rPr>
        <w:t xml:space="preserve">Web Gateway Tier (Server): </w:t>
      </w:r>
      <w:r>
        <w:rPr>
          <w:rFonts w:ascii="Times New Roman" w:hAnsi="Times New Roman"/>
          <w:color w:val="000000"/>
          <w:sz w:val="24"/>
        </w:rPr>
        <w:t>Managed by Gunicorn WSGI server on Render Cloud to handle incoming HTTPS requests and SSL termination.</w:t>
      </w:r>
    </w:p>
    <w:p>
      <w:pPr>
        <w:pStyle w:val="ListBullet"/>
        <w:spacing w:line="360" w:lineRule="auto" w:after="60"/>
        <w:jc w:val="both"/>
      </w:pPr>
      <w:r>
        <w:rPr>
          <w:rFonts w:ascii="Times New Roman" w:hAnsi="Times New Roman"/>
          <w:b/>
          <w:color w:val="000000"/>
          <w:sz w:val="24"/>
        </w:rPr>
        <w:t xml:space="preserve">Application Tier (Business Logic): </w:t>
      </w:r>
      <w:r>
        <w:rPr>
          <w:rFonts w:ascii="Times New Roman" w:hAnsi="Times New Roman"/>
          <w:color w:val="000000"/>
          <w:sz w:val="24"/>
        </w:rPr>
        <w:t>Python Flask controllers in `app.py` managing user login, password hashing, file uploads, and loan state transitions.</w:t>
      </w:r>
    </w:p>
    <w:p>
      <w:pPr>
        <w:pStyle w:val="ListBullet"/>
        <w:spacing w:line="360" w:lineRule="auto" w:after="60"/>
        <w:jc w:val="both"/>
      </w:pPr>
      <w:r>
        <w:rPr>
          <w:rFonts w:ascii="Times New Roman" w:hAnsi="Times New Roman"/>
          <w:b/>
          <w:color w:val="000000"/>
          <w:sz w:val="24"/>
        </w:rPr>
        <w:t xml:space="preserve">Persistence Tier (Database): </w:t>
      </w:r>
      <w:r>
        <w:rPr>
          <w:rFonts w:ascii="Times New Roman" w:hAnsi="Times New Roman"/>
          <w:color w:val="000000"/>
          <w:sz w:val="24"/>
        </w:rPr>
        <w:t>TiDB Serverless Cloud relational database (MySQL 8.0 protocol) for ACID transactions, alongside disk storage for item photos.</w:t>
      </w:r>
    </w:p>
    <w:p>
      <w:pPr>
        <w:keepNext/>
        <w:spacing w:before="140" w:after="40" w:line="288" w:lineRule="auto"/>
      </w:pPr>
      <w:r>
        <w:rPr>
          <w:rFonts w:ascii="Times New Roman" w:hAnsi="Times New Roman"/>
          <w:b/>
          <w:color w:val="000000"/>
          <w:sz w:val="26"/>
        </w:rPr>
        <w:t>1.2 Data Flow Diagrams (DFD) — Levels 0, 1, and 2</w:t>
      </w:r>
    </w:p>
    <w:p>
      <w:pPr>
        <w:spacing w:line="360" w:lineRule="auto" w:after="80"/>
        <w:jc w:val="both"/>
      </w:pPr>
      <w:r>
        <w:rPr>
          <w:rFonts w:ascii="Times New Roman" w:hAnsi="Times New Roman"/>
          <w:color w:val="000000"/>
          <w:sz w:val="24"/>
        </w:rPr>
        <w:t>Data Flow Diagrams illustrate how information moves through the application across three levels:</w:t>
      </w:r>
    </w:p>
    <w:p>
      <w:pPr>
        <w:keepNext/>
        <w:spacing w:before="160" w:after="60"/>
        <w:jc w:val="center"/>
      </w:pPr>
      <w:r>
        <w:drawing>
          <wp:inline xmlns:a="http://schemas.openxmlformats.org/drawingml/2006/main" xmlns:pic="http://schemas.openxmlformats.org/drawingml/2006/picture">
            <wp:extent cx="3383280" cy="1768072"/>
            <wp:docPr id="1" name="Picture 1"/>
            <wp:cNvGraphicFramePr>
              <a:graphicFrameLocks noChangeAspect="1"/>
            </wp:cNvGraphicFramePr>
            <a:graphic>
              <a:graphicData uri="http://schemas.openxmlformats.org/drawingml/2006/picture">
                <pic:pic>
                  <pic:nvPicPr>
                    <pic:cNvPr id="0" name="fig1_dfd_level0.png"/>
                    <pic:cNvPicPr/>
                  </pic:nvPicPr>
                  <pic:blipFill>
                    <a:blip r:embed="rId10"/>
                    <a:stretch>
                      <a:fillRect/>
                    </a:stretch>
                  </pic:blipFill>
                  <pic:spPr>
                    <a:xfrm>
                      <a:off x="0" y="0"/>
                      <a:ext cx="3383280" cy="1768072"/>
                    </a:xfrm>
                    <a:prstGeom prst="rect"/>
                  </pic:spPr>
                </pic:pic>
              </a:graphicData>
            </a:graphic>
          </wp:inline>
        </w:drawing>
      </w:r>
    </w:p>
    <w:p>
      <w:pPr>
        <w:keepNext/>
        <w:spacing w:before="0" w:after="160"/>
        <w:jc w:val="center"/>
      </w:pPr>
      <w:r>
        <w:rPr>
          <w:rFonts w:ascii="Times New Roman" w:hAnsi="Times New Roman"/>
          <w:b/>
          <w:color w:val="000000"/>
          <w:sz w:val="20"/>
        </w:rPr>
        <w:t>Figure 1: DFD Level 0 — Context Diagram</w:t>
      </w:r>
    </w:p>
    <w:p>
      <w:pPr>
        <w:spacing w:line="360" w:lineRule="auto" w:after="80"/>
        <w:jc w:val="both"/>
      </w:pPr>
      <w:r>
        <w:rPr>
          <w:rFonts w:ascii="Times New Roman" w:hAnsi="Times New Roman"/>
          <w:color w:val="000000"/>
          <w:sz w:val="24"/>
        </w:rPr>
        <w:t>The Context Level Diagram (Level 0) represents the platform interacting with Item Owners, Borrowers, Community Members, and Administrators.</w:t>
      </w:r>
    </w:p>
    <w:p>
      <w:pPr>
        <w:keepNext/>
        <w:spacing w:before="160" w:after="60"/>
        <w:jc w:val="center"/>
      </w:pPr>
      <w:r>
        <w:drawing>
          <wp:inline xmlns:a="http://schemas.openxmlformats.org/drawingml/2006/main" xmlns:pic="http://schemas.openxmlformats.org/drawingml/2006/picture">
            <wp:extent cx="3383280" cy="1788812"/>
            <wp:docPr id="2" name="Picture 2"/>
            <wp:cNvGraphicFramePr>
              <a:graphicFrameLocks noChangeAspect="1"/>
            </wp:cNvGraphicFramePr>
            <a:graphic>
              <a:graphicData uri="http://schemas.openxmlformats.org/drawingml/2006/picture">
                <pic:pic>
                  <pic:nvPicPr>
                    <pic:cNvPr id="0" name="fig2_dfd_level1.png"/>
                    <pic:cNvPicPr/>
                  </pic:nvPicPr>
                  <pic:blipFill>
                    <a:blip r:embed="rId11"/>
                    <a:stretch>
                      <a:fillRect/>
                    </a:stretch>
                  </pic:blipFill>
                  <pic:spPr>
                    <a:xfrm>
                      <a:off x="0" y="0"/>
                      <a:ext cx="3383280" cy="1788812"/>
                    </a:xfrm>
                    <a:prstGeom prst="rect"/>
                  </pic:spPr>
                </pic:pic>
              </a:graphicData>
            </a:graphic>
          </wp:inline>
        </w:drawing>
      </w:r>
    </w:p>
    <w:p>
      <w:pPr>
        <w:keepNext/>
        <w:spacing w:before="0" w:after="160"/>
        <w:jc w:val="center"/>
      </w:pPr>
      <w:r>
        <w:rPr>
          <w:rFonts w:ascii="Times New Roman" w:hAnsi="Times New Roman"/>
          <w:b/>
          <w:color w:val="000000"/>
          <w:sz w:val="20"/>
        </w:rPr>
        <w:t>Figure 2: DFD Level 1 — Subsystem Process Diagram</w:t>
      </w:r>
    </w:p>
    <w:p>
      <w:pPr>
        <w:spacing w:line="360" w:lineRule="auto" w:after="80"/>
        <w:jc w:val="both"/>
      </w:pPr>
      <w:r>
        <w:rPr>
          <w:rFonts w:ascii="Times New Roman" w:hAnsi="Times New Roman"/>
          <w:color w:val="000000"/>
          <w:sz w:val="24"/>
        </w:rPr>
        <w:t>The Level 1 DFD decomposes the system into four functional subsystems: (1.0) User Auth, (2.0) Item Catalog, (3.0) Search Engine, and (4.0) Lending Workflow Engine interacting with data stores D1, D2, and D3.</w:t>
      </w:r>
    </w:p>
    <w:p>
      <w:pPr>
        <w:keepNext/>
        <w:spacing w:before="160" w:after="60"/>
        <w:jc w:val="center"/>
      </w:pPr>
      <w:r>
        <w:drawing>
          <wp:inline xmlns:a="http://schemas.openxmlformats.org/drawingml/2006/main" xmlns:pic="http://schemas.openxmlformats.org/drawingml/2006/picture">
            <wp:extent cx="3383280" cy="1705844"/>
            <wp:docPr id="3" name="Picture 3"/>
            <wp:cNvGraphicFramePr>
              <a:graphicFrameLocks noChangeAspect="1"/>
            </wp:cNvGraphicFramePr>
            <a:graphic>
              <a:graphicData uri="http://schemas.openxmlformats.org/drawingml/2006/picture">
                <pic:pic>
                  <pic:nvPicPr>
                    <pic:cNvPr id="0" name="fig3_dfd_level2.png"/>
                    <pic:cNvPicPr/>
                  </pic:nvPicPr>
                  <pic:blipFill>
                    <a:blip r:embed="rId12"/>
                    <a:stretch>
                      <a:fillRect/>
                    </a:stretch>
                  </pic:blipFill>
                  <pic:spPr>
                    <a:xfrm>
                      <a:off x="0" y="0"/>
                      <a:ext cx="3383280" cy="1705844"/>
                    </a:xfrm>
                    <a:prstGeom prst="rect"/>
                  </pic:spPr>
                </pic:pic>
              </a:graphicData>
            </a:graphic>
          </wp:inline>
        </w:drawing>
      </w:r>
    </w:p>
    <w:p>
      <w:pPr>
        <w:keepNext/>
        <w:spacing w:before="0" w:after="160"/>
        <w:jc w:val="center"/>
      </w:pPr>
      <w:r>
        <w:rPr>
          <w:rFonts w:ascii="Times New Roman" w:hAnsi="Times New Roman"/>
          <w:b/>
          <w:color w:val="000000"/>
          <w:sz w:val="20"/>
        </w:rPr>
        <w:t>Figure 3: DFD Level 2 — Borrow Request &amp; State Lifecycle</w:t>
      </w:r>
    </w:p>
    <w:p>
      <w:pPr>
        <w:spacing w:line="360" w:lineRule="auto" w:after="80"/>
        <w:jc w:val="both"/>
      </w:pPr>
      <w:r>
        <w:rPr>
          <w:rFonts w:ascii="Times New Roman" w:hAnsi="Times New Roman"/>
          <w:color w:val="000000"/>
          <w:sz w:val="24"/>
        </w:rPr>
        <w:t>The Level 2 DFD outlines the complete borrow request lifecycle: checking item availability, creating a pending request, owner decision, and return confirmation.</w:t>
      </w:r>
    </w:p>
    <w:p>
      <w:pPr>
        <w:keepNext/>
        <w:spacing w:before="140" w:after="40" w:line="288" w:lineRule="auto"/>
      </w:pPr>
      <w:r>
        <w:rPr>
          <w:rFonts w:ascii="Times New Roman" w:hAnsi="Times New Roman"/>
          <w:b/>
          <w:color w:val="000000"/>
          <w:sz w:val="26"/>
        </w:rPr>
        <w:t>1.3 Unified Modeling Language (UML) Diagrams</w:t>
      </w:r>
    </w:p>
    <w:p>
      <w:pPr>
        <w:spacing w:line="360" w:lineRule="auto" w:after="80"/>
        <w:jc w:val="both"/>
      </w:pPr>
      <w:r>
        <w:rPr>
          <w:rFonts w:ascii="Times New Roman" w:hAnsi="Times New Roman"/>
          <w:color w:val="000000"/>
          <w:sz w:val="24"/>
        </w:rPr>
        <w:t>UML models depict system functional interactions and object structures:</w:t>
      </w:r>
    </w:p>
    <w:p>
      <w:pPr>
        <w:keepNext/>
        <w:spacing w:before="160" w:after="60"/>
        <w:jc w:val="center"/>
      </w:pPr>
      <w:r>
        <w:drawing>
          <wp:inline xmlns:a="http://schemas.openxmlformats.org/drawingml/2006/main" xmlns:pic="http://schemas.openxmlformats.org/drawingml/2006/picture">
            <wp:extent cx="3383280" cy="1886693"/>
            <wp:docPr id="4" name="Picture 4"/>
            <wp:cNvGraphicFramePr>
              <a:graphicFrameLocks noChangeAspect="1"/>
            </wp:cNvGraphicFramePr>
            <a:graphic>
              <a:graphicData uri="http://schemas.openxmlformats.org/drawingml/2006/picture">
                <pic:pic>
                  <pic:nvPicPr>
                    <pic:cNvPr id="0" name="fig4_uml_use_case.png"/>
                    <pic:cNvPicPr/>
                  </pic:nvPicPr>
                  <pic:blipFill>
                    <a:blip r:embed="rId13"/>
                    <a:stretch>
                      <a:fillRect/>
                    </a:stretch>
                  </pic:blipFill>
                  <pic:spPr>
                    <a:xfrm>
                      <a:off x="0" y="0"/>
                      <a:ext cx="3383280" cy="1886693"/>
                    </a:xfrm>
                    <a:prstGeom prst="rect"/>
                  </pic:spPr>
                </pic:pic>
              </a:graphicData>
            </a:graphic>
          </wp:inline>
        </w:drawing>
      </w:r>
    </w:p>
    <w:p>
      <w:pPr>
        <w:keepNext/>
        <w:spacing w:before="0" w:after="160"/>
        <w:jc w:val="center"/>
      </w:pPr>
      <w:r>
        <w:rPr>
          <w:rFonts w:ascii="Times New Roman" w:hAnsi="Times New Roman"/>
          <w:b/>
          <w:color w:val="000000"/>
          <w:sz w:val="20"/>
        </w:rPr>
        <w:t>Figure 4: UML Use Case Diagram</w:t>
      </w:r>
    </w:p>
    <w:p>
      <w:pPr>
        <w:spacing w:line="360" w:lineRule="auto" w:after="80"/>
        <w:jc w:val="both"/>
      </w:pPr>
      <w:r>
        <w:rPr>
          <w:rFonts w:ascii="Times New Roman" w:hAnsi="Times New Roman"/>
          <w:color w:val="000000"/>
          <w:sz w:val="24"/>
        </w:rPr>
        <w:t>The Use Case Diagram defines functional interactions across Item Owner, Borrower, and Administrator roles within the system boundary.</w:t>
      </w:r>
    </w:p>
    <w:p>
      <w:pPr>
        <w:keepNext/>
        <w:spacing w:before="160" w:after="60"/>
        <w:jc w:val="center"/>
      </w:pPr>
      <w:r>
        <w:drawing>
          <wp:inline xmlns:a="http://schemas.openxmlformats.org/drawingml/2006/main" xmlns:pic="http://schemas.openxmlformats.org/drawingml/2006/picture">
            <wp:extent cx="3383280" cy="1886693"/>
            <wp:docPr id="5" name="Picture 5"/>
            <wp:cNvGraphicFramePr>
              <a:graphicFrameLocks noChangeAspect="1"/>
            </wp:cNvGraphicFramePr>
            <a:graphic>
              <a:graphicData uri="http://schemas.openxmlformats.org/drawingml/2006/picture">
                <pic:pic>
                  <pic:nvPicPr>
                    <pic:cNvPr id="0" name="fig5_uml_class_diagram.png"/>
                    <pic:cNvPicPr/>
                  </pic:nvPicPr>
                  <pic:blipFill>
                    <a:blip r:embed="rId14"/>
                    <a:stretch>
                      <a:fillRect/>
                    </a:stretch>
                  </pic:blipFill>
                  <pic:spPr>
                    <a:xfrm>
                      <a:off x="0" y="0"/>
                      <a:ext cx="3383280" cy="1886693"/>
                    </a:xfrm>
                    <a:prstGeom prst="rect"/>
                  </pic:spPr>
                </pic:pic>
              </a:graphicData>
            </a:graphic>
          </wp:inline>
        </w:drawing>
      </w:r>
    </w:p>
    <w:p>
      <w:pPr>
        <w:keepNext/>
        <w:spacing w:before="0" w:after="160"/>
        <w:jc w:val="center"/>
      </w:pPr>
      <w:r>
        <w:rPr>
          <w:rFonts w:ascii="Times New Roman" w:hAnsi="Times New Roman"/>
          <w:b/>
          <w:color w:val="000000"/>
          <w:sz w:val="20"/>
        </w:rPr>
        <w:t>Figure 5: UML Class Diagram</w:t>
      </w:r>
    </w:p>
    <w:p>
      <w:pPr>
        <w:spacing w:line="360" w:lineRule="auto" w:after="80"/>
        <w:jc w:val="both"/>
      </w:pPr>
      <w:r>
        <w:rPr>
          <w:rFonts w:ascii="Times New Roman" w:hAnsi="Times New Roman"/>
          <w:color w:val="000000"/>
          <w:sz w:val="24"/>
        </w:rPr>
        <w:t>The Class Diagram details the core entity classes: `User`, `Item`, and `LendingRequest` with attributes, methods, and associations (`1..* Lists`, `1..* Initiates`).</w:t>
      </w:r>
    </w:p>
    <w:p>
      <w:pPr>
        <w:keepNext/>
        <w:spacing w:before="140" w:after="40" w:line="288" w:lineRule="auto"/>
      </w:pPr>
      <w:r>
        <w:rPr>
          <w:rFonts w:ascii="Times New Roman" w:hAnsi="Times New Roman"/>
          <w:b/>
          <w:color w:val="000000"/>
          <w:sz w:val="26"/>
        </w:rPr>
        <w:t>1.4 Design Rationale and Trade-off Studies</w:t>
      </w:r>
    </w:p>
    <w:p>
      <w:pPr>
        <w:spacing w:line="360" w:lineRule="auto" w:after="80"/>
        <w:jc w:val="both"/>
      </w:pPr>
      <w:r>
        <w:rPr>
          <w:rFonts w:ascii="Times New Roman" w:hAnsi="Times New Roman"/>
          <w:color w:val="000000"/>
          <w:sz w:val="24"/>
        </w:rPr>
        <w:t>A modular monolith web architecture using Python Flask was selected instead of complex microservices. This choice allows faster development, keeps all database transactions reliable with ACID guarantees, and makes cloud deployment simple and cost-effective on free-tier services: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Evaluation Metric</w:t>
            </w:r>
          </w:p>
        </w:tc>
        <w:tc>
          <w:tcPr>
            <w:tcW w:type="dxa" w:w="1152"/>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Weight</w:t>
            </w:r>
          </w:p>
        </w:tc>
        <w:tc>
          <w:tcPr>
            <w:tcW w:type="dxa" w:w="288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Modular Monolith (Selected)</w:t>
            </w:r>
          </w:p>
        </w:tc>
        <w:tc>
          <w:tcPr>
            <w:tcW w:type="dxa" w:w="2736"/>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Microservices Architecture</w:t>
            </w:r>
          </w:p>
        </w:tc>
      </w:tr>
      <w:tr>
        <w:tc>
          <w:tcPr>
            <w:tcW w:type="dxa" w:w="2592"/>
            <w:tcMar>
              <w:top w:w="30" w:type="dxa"/>
              <w:bottom w:w="30" w:type="dxa"/>
              <w:left w:w="50" w:type="dxa"/>
              <w:right w:w="50" w:type="dxa"/>
            </w:tcMar>
          </w:tcPr>
          <w:p>
            <w:pPr>
              <w:spacing w:before="20" w:after="20" w:line="252" w:lineRule="auto"/>
            </w:pPr>
            <w:r>
              <w:rPr>
                <w:rFonts w:ascii="Times New Roman" w:hAnsi="Times New Roman"/>
                <w:color w:val="000000"/>
                <w:sz w:val="17"/>
              </w:rPr>
              <w:t>Development Velocity</w:t>
            </w:r>
          </w:p>
        </w:tc>
        <w:tc>
          <w:tcPr>
            <w:tcW w:type="dxa" w:w="1152"/>
            <w:tcMar>
              <w:top w:w="30" w:type="dxa"/>
              <w:bottom w:w="30" w:type="dxa"/>
              <w:left w:w="50" w:type="dxa"/>
              <w:right w:w="50" w:type="dxa"/>
            </w:tcMar>
          </w:tcPr>
          <w:p>
            <w:pPr>
              <w:spacing w:before="20" w:after="20" w:line="252" w:lineRule="auto"/>
            </w:pPr>
            <w:r>
              <w:rPr>
                <w:rFonts w:ascii="Times New Roman" w:hAnsi="Times New Roman"/>
                <w:color w:val="000000"/>
                <w:sz w:val="17"/>
              </w:rPr>
              <w:t>25%</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9 / 10 (Rapid sprint cycles)</w:t>
            </w:r>
          </w:p>
        </w:tc>
        <w:tc>
          <w:tcPr>
            <w:tcW w:type="dxa" w:w="2736"/>
            <w:tcMar>
              <w:top w:w="30" w:type="dxa"/>
              <w:bottom w:w="30" w:type="dxa"/>
              <w:left w:w="50" w:type="dxa"/>
              <w:right w:w="50" w:type="dxa"/>
            </w:tcMar>
          </w:tcPr>
          <w:p>
            <w:pPr>
              <w:spacing w:before="20" w:after="20" w:line="252" w:lineRule="auto"/>
            </w:pPr>
            <w:r>
              <w:rPr>
                <w:rFonts w:ascii="Times New Roman" w:hAnsi="Times New Roman"/>
                <w:color w:val="000000"/>
                <w:sz w:val="17"/>
              </w:rPr>
              <w:t>5 / 10 (Heavy setup overhead)</w:t>
            </w:r>
          </w:p>
        </w:tc>
      </w:tr>
      <w:tr>
        <w:tc>
          <w:tcPr>
            <w:tcW w:type="dxa" w:w="259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Operational Simplicity</w:t>
            </w:r>
          </w:p>
        </w:tc>
        <w:tc>
          <w:tcPr>
            <w:tcW w:type="dxa" w:w="115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25%</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10 / 10 (Single deployment)</w:t>
            </w:r>
          </w:p>
        </w:tc>
        <w:tc>
          <w:tcPr>
            <w:tcW w:type="dxa" w:w="273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4 / 10 (Multi-container setup)</w:t>
            </w:r>
          </w:p>
        </w:tc>
      </w:tr>
      <w:tr>
        <w:tc>
          <w:tcPr>
            <w:tcW w:type="dxa" w:w="2592"/>
            <w:tcMar>
              <w:top w:w="30" w:type="dxa"/>
              <w:bottom w:w="30" w:type="dxa"/>
              <w:left w:w="50" w:type="dxa"/>
              <w:right w:w="50" w:type="dxa"/>
            </w:tcMar>
          </w:tcPr>
          <w:p>
            <w:pPr>
              <w:spacing w:before="20" w:after="20" w:line="252" w:lineRule="auto"/>
            </w:pPr>
            <w:r>
              <w:rPr>
                <w:rFonts w:ascii="Times New Roman" w:hAnsi="Times New Roman"/>
                <w:color w:val="000000"/>
                <w:sz w:val="17"/>
              </w:rPr>
              <w:t>Hosting &amp; Cloud Cost</w:t>
            </w:r>
          </w:p>
        </w:tc>
        <w:tc>
          <w:tcPr>
            <w:tcW w:type="dxa" w:w="1152"/>
            <w:tcMar>
              <w:top w:w="30" w:type="dxa"/>
              <w:bottom w:w="30" w:type="dxa"/>
              <w:left w:w="50" w:type="dxa"/>
              <w:right w:w="50" w:type="dxa"/>
            </w:tcMar>
          </w:tcPr>
          <w:p>
            <w:pPr>
              <w:spacing w:before="20" w:after="20" w:line="252" w:lineRule="auto"/>
            </w:pPr>
            <w:r>
              <w:rPr>
                <w:rFonts w:ascii="Times New Roman" w:hAnsi="Times New Roman"/>
                <w:color w:val="000000"/>
                <w:sz w:val="17"/>
              </w:rPr>
              <w:t>25%</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10 / 10 (Free tier compatible)</w:t>
            </w:r>
          </w:p>
        </w:tc>
        <w:tc>
          <w:tcPr>
            <w:tcW w:type="dxa" w:w="2736"/>
            <w:tcMar>
              <w:top w:w="30" w:type="dxa"/>
              <w:bottom w:w="30" w:type="dxa"/>
              <w:left w:w="50" w:type="dxa"/>
              <w:right w:w="50" w:type="dxa"/>
            </w:tcMar>
          </w:tcPr>
          <w:p>
            <w:pPr>
              <w:spacing w:before="20" w:after="20" w:line="252" w:lineRule="auto"/>
            </w:pPr>
            <w:r>
              <w:rPr>
                <w:rFonts w:ascii="Times New Roman" w:hAnsi="Times New Roman"/>
                <w:color w:val="000000"/>
                <w:sz w:val="17"/>
              </w:rPr>
              <w:t>4 / 10 (Multiple VMs needed)</w:t>
            </w:r>
          </w:p>
        </w:tc>
      </w:tr>
      <w:tr>
        <w:tc>
          <w:tcPr>
            <w:tcW w:type="dxa" w:w="259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Transactional Consistency</w:t>
            </w:r>
          </w:p>
        </w:tc>
        <w:tc>
          <w:tcPr>
            <w:tcW w:type="dxa" w:w="1152"/>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25%</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10 / 10 (ACID DB transactions)</w:t>
            </w:r>
          </w:p>
        </w:tc>
        <w:tc>
          <w:tcPr>
            <w:tcW w:type="dxa" w:w="273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6 / 10 (Eventual consistency)</w:t>
            </w:r>
          </w:p>
        </w:tc>
      </w:tr>
      <w:tr>
        <w:tc>
          <w:tcPr>
            <w:tcW w:type="dxa" w:w="2592"/>
            <w:tcMar>
              <w:top w:w="30" w:type="dxa"/>
              <w:bottom w:w="30" w:type="dxa"/>
              <w:left w:w="50" w:type="dxa"/>
              <w:right w:w="50" w:type="dxa"/>
            </w:tcMar>
          </w:tcPr>
          <w:p>
            <w:pPr>
              <w:spacing w:before="20" w:after="20" w:line="252" w:lineRule="auto"/>
            </w:pPr>
            <w:r>
              <w:rPr>
                <w:rFonts w:ascii="Times New Roman" w:hAnsi="Times New Roman"/>
                <w:color w:val="000000"/>
                <w:sz w:val="17"/>
              </w:rPr>
              <w:t>Weighted Final Score</w:t>
            </w:r>
          </w:p>
        </w:tc>
        <w:tc>
          <w:tcPr>
            <w:tcW w:type="dxa" w:w="1152"/>
            <w:tcMar>
              <w:top w:w="30" w:type="dxa"/>
              <w:bottom w:w="30" w:type="dxa"/>
              <w:left w:w="50" w:type="dxa"/>
              <w:right w:w="50" w:type="dxa"/>
            </w:tcMar>
          </w:tcPr>
          <w:p>
            <w:pPr>
              <w:spacing w:before="20" w:after="20" w:line="252" w:lineRule="auto"/>
            </w:pPr>
            <w:r>
              <w:rPr>
                <w:rFonts w:ascii="Times New Roman" w:hAnsi="Times New Roman"/>
                <w:color w:val="000000"/>
                <w:sz w:val="17"/>
              </w:rPr>
              <w:t>100%</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9.75 / 10.0 (SELECTED)</w:t>
            </w:r>
          </w:p>
        </w:tc>
        <w:tc>
          <w:tcPr>
            <w:tcW w:type="dxa" w:w="2736"/>
            <w:tcMar>
              <w:top w:w="30" w:type="dxa"/>
              <w:bottom w:w="30" w:type="dxa"/>
              <w:left w:w="50" w:type="dxa"/>
              <w:right w:w="50" w:type="dxa"/>
            </w:tcMar>
          </w:tcPr>
          <w:p>
            <w:pPr>
              <w:spacing w:before="20" w:after="20" w:line="252" w:lineRule="auto"/>
            </w:pPr>
            <w:r>
              <w:rPr>
                <w:rFonts w:ascii="Times New Roman" w:hAnsi="Times New Roman"/>
                <w:color w:val="000000"/>
                <w:sz w:val="17"/>
              </w:rPr>
              <w:t>4.75 / 10.0</w:t>
            </w:r>
          </w:p>
        </w:tc>
      </w:tr>
    </w:tbl>
    <w:p>
      <w:pPr>
        <w:keepNext/>
        <w:spacing w:before="200" w:after="60" w:line="288" w:lineRule="auto"/>
      </w:pPr>
      <w:r>
        <w:rPr>
          <w:rFonts w:ascii="Times New Roman" w:hAnsi="Times New Roman"/>
          <w:b/>
          <w:color w:val="000000"/>
          <w:sz w:val="28"/>
        </w:rPr>
        <w:t>2. Database Design Specification</w:t>
      </w:r>
    </w:p>
    <w:p>
      <w:pPr>
        <w:spacing w:line="360" w:lineRule="auto" w:after="80"/>
        <w:jc w:val="both"/>
      </w:pPr>
      <w:r>
        <w:rPr>
          <w:rFonts w:ascii="Times New Roman" w:hAnsi="Times New Roman"/>
          <w:color w:val="000000"/>
          <w:sz w:val="24"/>
        </w:rPr>
        <w:t>The database tier uses MySQL 8.0 on TiDB Serverless Cloud. A relational DBMS was selected over NoSQL for strict ACID transaction consistency and foreign key constraints.</w:t>
      </w:r>
    </w:p>
    <w:p>
      <w:pPr>
        <w:keepNext/>
        <w:spacing w:before="160" w:after="60"/>
        <w:jc w:val="center"/>
      </w:pPr>
      <w:r>
        <w:drawing>
          <wp:inline xmlns:a="http://schemas.openxmlformats.org/drawingml/2006/main" xmlns:pic="http://schemas.openxmlformats.org/drawingml/2006/picture">
            <wp:extent cx="3383280" cy="1886693"/>
            <wp:docPr id="6" name="Picture 6"/>
            <wp:cNvGraphicFramePr>
              <a:graphicFrameLocks noChangeAspect="1"/>
            </wp:cNvGraphicFramePr>
            <a:graphic>
              <a:graphicData uri="http://schemas.openxmlformats.org/drawingml/2006/picture">
                <pic:pic>
                  <pic:nvPicPr>
                    <pic:cNvPr id="0" name="fig6_database_erd.png"/>
                    <pic:cNvPicPr/>
                  </pic:nvPicPr>
                  <pic:blipFill>
                    <a:blip r:embed="rId15"/>
                    <a:stretch>
                      <a:fillRect/>
                    </a:stretch>
                  </pic:blipFill>
                  <pic:spPr>
                    <a:xfrm>
                      <a:off x="0" y="0"/>
                      <a:ext cx="3383280" cy="1886693"/>
                    </a:xfrm>
                    <a:prstGeom prst="rect"/>
                  </pic:spPr>
                </pic:pic>
              </a:graphicData>
            </a:graphic>
          </wp:inline>
        </w:drawing>
      </w:r>
    </w:p>
    <w:p>
      <w:pPr>
        <w:keepNext/>
        <w:spacing w:before="0" w:after="160"/>
        <w:jc w:val="center"/>
      </w:pPr>
      <w:r>
        <w:rPr>
          <w:rFonts w:ascii="Times New Roman" w:hAnsi="Times New Roman"/>
          <w:b/>
          <w:color w:val="000000"/>
          <w:sz w:val="20"/>
        </w:rPr>
        <w:t>Figure 6: MySQL Relational Database ER Diagram</w:t>
      </w:r>
    </w:p>
    <w:p>
      <w:pPr>
        <w:spacing w:line="360" w:lineRule="auto" w:after="80"/>
        <w:jc w:val="both"/>
      </w:pPr>
      <w:r>
        <w:rPr>
          <w:rFonts w:ascii="Times New Roman" w:hAnsi="Times New Roman"/>
          <w:color w:val="000000"/>
          <w:sz w:val="24"/>
        </w:rPr>
        <w:t>The ER Diagram illustrates the relational entities (`USERS`, `ITEMS`, `LENDING_REQUESTS`), primary keys, foreign keys, and 1:N cardinalities.</w:t>
      </w:r>
    </w:p>
    <w:p>
      <w:pPr>
        <w:keepNext/>
        <w:spacing w:before="140" w:after="40" w:line="288" w:lineRule="auto"/>
      </w:pPr>
      <w:r>
        <w:rPr>
          <w:rFonts w:ascii="Times New Roman" w:hAnsi="Times New Roman"/>
          <w:b/>
          <w:color w:val="000000"/>
          <w:sz w:val="26"/>
        </w:rPr>
        <w:t>2.1 Schema Normalization (1NF, 2NF, 3NF)</w:t>
      </w:r>
    </w:p>
    <w:p>
      <w:pPr>
        <w:pStyle w:val="ListBullet"/>
        <w:spacing w:line="360" w:lineRule="auto" w:after="60"/>
        <w:jc w:val="both"/>
      </w:pPr>
      <w:r>
        <w:rPr>
          <w:rFonts w:ascii="Times New Roman" w:hAnsi="Times New Roman"/>
          <w:b/>
          <w:color w:val="000000"/>
          <w:sz w:val="24"/>
        </w:rPr>
        <w:t xml:space="preserve">1NF (First Normal Form): </w:t>
      </w:r>
      <w:r>
        <w:rPr>
          <w:rFonts w:ascii="Times New Roman" w:hAnsi="Times New Roman"/>
          <w:color w:val="000000"/>
          <w:sz w:val="24"/>
        </w:rPr>
        <w:t>All table columns contain atomic, indivisible values; repeating groups are eliminated with primary keys (`id`).</w:t>
      </w:r>
    </w:p>
    <w:p>
      <w:pPr>
        <w:pStyle w:val="ListBullet"/>
        <w:spacing w:line="360" w:lineRule="auto" w:after="60"/>
        <w:jc w:val="both"/>
      </w:pPr>
      <w:r>
        <w:rPr>
          <w:rFonts w:ascii="Times New Roman" w:hAnsi="Times New Roman"/>
          <w:b/>
          <w:color w:val="000000"/>
          <w:sz w:val="24"/>
        </w:rPr>
        <w:t xml:space="preserve">2NF (Second Normal Form): </w:t>
      </w:r>
      <w:r>
        <w:rPr>
          <w:rFonts w:ascii="Times New Roman" w:hAnsi="Times New Roman"/>
          <w:color w:val="000000"/>
          <w:sz w:val="24"/>
        </w:rPr>
        <w:t>Satisfies 1NF with zero partial key dependencies; all non-key columns depend on the entire primary key.</w:t>
      </w:r>
    </w:p>
    <w:p>
      <w:pPr>
        <w:pStyle w:val="ListBullet"/>
        <w:spacing w:line="360" w:lineRule="auto" w:after="60"/>
        <w:jc w:val="both"/>
      </w:pPr>
      <w:r>
        <w:rPr>
          <w:rFonts w:ascii="Times New Roman" w:hAnsi="Times New Roman"/>
          <w:b/>
          <w:color w:val="000000"/>
          <w:sz w:val="24"/>
        </w:rPr>
        <w:t xml:space="preserve">3NF (Third Normal Form): </w:t>
      </w:r>
      <w:r>
        <w:rPr>
          <w:rFonts w:ascii="Times New Roman" w:hAnsi="Times New Roman"/>
          <w:color w:val="000000"/>
          <w:sz w:val="24"/>
        </w:rPr>
        <w:t>Satisfies 2NF with zero transitive dependencies; non-key columns depend solely on primary keys.</w:t>
      </w:r>
    </w:p>
    <w:p>
      <w:pPr>
        <w:keepNext/>
        <w:spacing w:before="140" w:after="40" w:line="288" w:lineRule="auto"/>
      </w:pPr>
      <w:r>
        <w:rPr>
          <w:rFonts w:ascii="Times New Roman" w:hAnsi="Times New Roman"/>
          <w:b/>
          <w:color w:val="000000"/>
          <w:sz w:val="26"/>
        </w:rPr>
        <w:t>2.2 Physical Data Dictionaries</w:t>
      </w:r>
    </w:p>
    <w:p>
      <w:pPr>
        <w:spacing w:line="360" w:lineRule="auto" w:after="80"/>
        <w:jc w:val="both"/>
      </w:pPr>
      <w:r>
        <w:rPr>
          <w:rFonts w:ascii="Times New Roman" w:hAnsi="Times New Roman"/>
          <w:b/>
          <w:color w:val="000000"/>
          <w:sz w:val="24"/>
        </w:rPr>
        <w:t xml:space="preserve">Users Table: </w:t>
      </w:r>
      <w:r>
        <w:rPr>
          <w:rFonts w:ascii="Times New Roman" w:hAnsi="Times New Roman"/>
          <w:color w:val="000000"/>
          <w:sz w:val="24"/>
        </w:rPr>
        <w:t>Table 1: Data Dictionary for `users` Table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Field Name</w:t>
            </w:r>
          </w:p>
        </w:tc>
        <w:tc>
          <w:tcPr>
            <w:tcW w:type="dxa" w:w="1584"/>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Data Type</w:t>
            </w:r>
          </w:p>
        </w:tc>
        <w:tc>
          <w:tcPr>
            <w:tcW w:type="dxa" w:w="216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Constraints</w:t>
            </w:r>
          </w:p>
        </w:tc>
        <w:tc>
          <w:tcPr>
            <w:tcW w:type="dxa" w:w="1296"/>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Default</w:t>
            </w:r>
          </w:p>
        </w:tc>
        <w:tc>
          <w:tcPr>
            <w:tcW w:type="dxa" w:w="288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Description</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id</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INT</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PK, AUTO_INCREMENT</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Unique member ID</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name</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VARCHAR(100)</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Full name of user</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email</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VARCHAR(120)</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NOT NULL, UNIQUE</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Login email address</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password_hash</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VARCHAR(255)</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PBKDF2:SHA256 password hash</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phone</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VARCHAR(20)</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NULLABLE</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NULL</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Contact phone number</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created_at</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TIMESTAMP</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CURRENT_TIMESTAMP</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Account creation timestamp</w:t>
            </w:r>
          </w:p>
        </w:tc>
      </w:tr>
    </w:tbl>
    <w:p>
      <w:pPr>
        <w:spacing w:line="360" w:lineRule="auto" w:after="80"/>
        <w:jc w:val="both"/>
      </w:pPr>
      <w:r>
        <w:rPr>
          <w:rFonts w:ascii="Times New Roman" w:hAnsi="Times New Roman"/>
          <w:b/>
          <w:color w:val="000000"/>
          <w:sz w:val="24"/>
        </w:rPr>
        <w:t xml:space="preserve">Items Table: </w:t>
      </w:r>
      <w:r>
        <w:rPr>
          <w:rFonts w:ascii="Times New Roman" w:hAnsi="Times New Roman"/>
          <w:color w:val="000000"/>
          <w:sz w:val="24"/>
        </w:rPr>
        <w:t>Table 2: Data Dictionary for `items` Table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Field Name</w:t>
            </w:r>
          </w:p>
        </w:tc>
        <w:tc>
          <w:tcPr>
            <w:tcW w:type="dxa" w:w="1584"/>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Data Type</w:t>
            </w:r>
          </w:p>
        </w:tc>
        <w:tc>
          <w:tcPr>
            <w:tcW w:type="dxa" w:w="216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Constraints</w:t>
            </w:r>
          </w:p>
        </w:tc>
        <w:tc>
          <w:tcPr>
            <w:tcW w:type="dxa" w:w="1296"/>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Default</w:t>
            </w:r>
          </w:p>
        </w:tc>
        <w:tc>
          <w:tcPr>
            <w:tcW w:type="dxa" w:w="288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Description</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id</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INT</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PK, AUTO_INCREMENT</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Unique item listing ID</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owner_id</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INT</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 FK (users.id)</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References item owner</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item_name</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VARCHAR(150)</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Title of listed item</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category</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VARCHAR(50)</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Resource category</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image</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VARCHAR(255)</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NULLABLE</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NULL</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UUID image filename on disk</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availability</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ENUM</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'Available'</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'Available' or 'Lent'</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created_at</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TIMESTAMP</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CURRENT_TIMESTAMP</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Listing creation timestamp</w:t>
            </w:r>
          </w:p>
        </w:tc>
      </w:tr>
    </w:tbl>
    <w:p>
      <w:pPr>
        <w:spacing w:line="360" w:lineRule="auto" w:after="80"/>
        <w:jc w:val="both"/>
      </w:pPr>
      <w:r>
        <w:rPr>
          <w:rFonts w:ascii="Times New Roman" w:hAnsi="Times New Roman"/>
          <w:b/>
          <w:color w:val="000000"/>
          <w:sz w:val="24"/>
        </w:rPr>
        <w:t xml:space="preserve">Lending Requests Table: </w:t>
      </w:r>
      <w:r>
        <w:rPr>
          <w:rFonts w:ascii="Times New Roman" w:hAnsi="Times New Roman"/>
          <w:color w:val="000000"/>
          <w:sz w:val="24"/>
        </w:rPr>
        <w:t>Table 3: Data Dictionary for `lending_requests` Table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Field Name</w:t>
            </w:r>
          </w:p>
        </w:tc>
        <w:tc>
          <w:tcPr>
            <w:tcW w:type="dxa" w:w="1584"/>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Data Type</w:t>
            </w:r>
          </w:p>
        </w:tc>
        <w:tc>
          <w:tcPr>
            <w:tcW w:type="dxa" w:w="216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Constraints</w:t>
            </w:r>
          </w:p>
        </w:tc>
        <w:tc>
          <w:tcPr>
            <w:tcW w:type="dxa" w:w="1296"/>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Default</w:t>
            </w:r>
          </w:p>
        </w:tc>
        <w:tc>
          <w:tcPr>
            <w:tcW w:type="dxa" w:w="2880"/>
            <w:shd w:fill="E2E8F0"/>
            <w:tcMar>
              <w:top w:w="40" w:type="dxa"/>
              <w:bottom w:w="40" w:type="dxa"/>
              <w:left w:w="50" w:type="dxa"/>
              <w:right w:w="50" w:type="dxa"/>
            </w:tcMar>
          </w:tcPr>
          <w:p>
            <w:pPr>
              <w:spacing w:before="40" w:after="40" w:line="252" w:lineRule="auto"/>
            </w:pPr>
            <w:r>
              <w:rPr>
                <w:rFonts w:ascii="Times New Roman" w:hAnsi="Times New Roman"/>
                <w:b/>
                <w:color w:val="000000"/>
                <w:sz w:val="18"/>
              </w:rPr>
              <w:t>Description</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id</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INT</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PK, AUTO_INCREMENT</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Unique request transaction ID</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item_id</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INT</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 FK (items.id)</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References requested item</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borrower_id</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INT</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NOT NULL, FK (users.id)</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References borrowing user</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owner_id</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INT</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 FK (users.id)</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None</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References item owner</w:t>
            </w:r>
          </w:p>
        </w:tc>
      </w:tr>
      <w:tr>
        <w:tc>
          <w:tcPr>
            <w:tcW w:type="dxa" w:w="1440"/>
            <w:tcMar>
              <w:top w:w="30" w:type="dxa"/>
              <w:bottom w:w="30" w:type="dxa"/>
              <w:left w:w="50" w:type="dxa"/>
              <w:right w:w="50" w:type="dxa"/>
            </w:tcMar>
          </w:tcPr>
          <w:p>
            <w:pPr>
              <w:spacing w:before="20" w:after="20" w:line="252" w:lineRule="auto"/>
            </w:pPr>
            <w:r>
              <w:rPr>
                <w:rFonts w:ascii="Times New Roman" w:hAnsi="Times New Roman"/>
                <w:color w:val="000000"/>
                <w:sz w:val="17"/>
              </w:rPr>
              <w:t>status</w:t>
            </w:r>
          </w:p>
        </w:tc>
        <w:tc>
          <w:tcPr>
            <w:tcW w:type="dxa" w:w="1584"/>
            <w:tcMar>
              <w:top w:w="30" w:type="dxa"/>
              <w:bottom w:w="30" w:type="dxa"/>
              <w:left w:w="50" w:type="dxa"/>
              <w:right w:w="50" w:type="dxa"/>
            </w:tcMar>
          </w:tcPr>
          <w:p>
            <w:pPr>
              <w:spacing w:before="20" w:after="20" w:line="252" w:lineRule="auto"/>
            </w:pPr>
            <w:r>
              <w:rPr>
                <w:rFonts w:ascii="Times New Roman" w:hAnsi="Times New Roman"/>
                <w:color w:val="000000"/>
                <w:sz w:val="17"/>
              </w:rPr>
              <w:t>ENUM</w:t>
            </w:r>
          </w:p>
        </w:tc>
        <w:tc>
          <w:tcPr>
            <w:tcW w:type="dxa" w:w="2160"/>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tcMar>
              <w:top w:w="30" w:type="dxa"/>
              <w:bottom w:w="30" w:type="dxa"/>
              <w:left w:w="50" w:type="dxa"/>
              <w:right w:w="50" w:type="dxa"/>
            </w:tcMar>
          </w:tcPr>
          <w:p>
            <w:pPr>
              <w:spacing w:before="20" w:after="20" w:line="252" w:lineRule="auto"/>
            </w:pPr>
            <w:r>
              <w:rPr>
                <w:rFonts w:ascii="Times New Roman" w:hAnsi="Times New Roman"/>
                <w:color w:val="000000"/>
                <w:sz w:val="17"/>
              </w:rPr>
              <w:t>'Pending'</w:t>
            </w:r>
          </w:p>
        </w:tc>
        <w:tc>
          <w:tcPr>
            <w:tcW w:type="dxa" w:w="2880"/>
            <w:tcMar>
              <w:top w:w="30" w:type="dxa"/>
              <w:bottom w:w="30" w:type="dxa"/>
              <w:left w:w="50" w:type="dxa"/>
              <w:right w:w="50" w:type="dxa"/>
            </w:tcMar>
          </w:tcPr>
          <w:p>
            <w:pPr>
              <w:spacing w:before="20" w:after="20" w:line="252" w:lineRule="auto"/>
            </w:pPr>
            <w:r>
              <w:rPr>
                <w:rFonts w:ascii="Times New Roman" w:hAnsi="Times New Roman"/>
                <w:color w:val="000000"/>
                <w:sz w:val="17"/>
              </w:rPr>
              <w:t>'Pending','Approved','Rejected','Returned'</w:t>
            </w:r>
          </w:p>
        </w:tc>
      </w:tr>
      <w:tr>
        <w:tc>
          <w:tcPr>
            <w:tcW w:type="dxa" w:w="144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requested_at</w:t>
            </w:r>
          </w:p>
        </w:tc>
        <w:tc>
          <w:tcPr>
            <w:tcW w:type="dxa" w:w="1584"/>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TIMESTAMP</w:t>
            </w:r>
          </w:p>
        </w:tc>
        <w:tc>
          <w:tcPr>
            <w:tcW w:type="dxa" w:w="216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NOT NULL</w:t>
            </w:r>
          </w:p>
        </w:tc>
        <w:tc>
          <w:tcPr>
            <w:tcW w:type="dxa" w:w="1296"/>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CURRENT_TIMESTAMP</w:t>
            </w:r>
          </w:p>
        </w:tc>
        <w:tc>
          <w:tcPr>
            <w:tcW w:type="dxa" w:w="2880"/>
            <w:shd w:fill="F8FAFC"/>
            <w:tcMar>
              <w:top w:w="30" w:type="dxa"/>
              <w:bottom w:w="30" w:type="dxa"/>
              <w:left w:w="50" w:type="dxa"/>
              <w:right w:w="50" w:type="dxa"/>
            </w:tcMar>
          </w:tcPr>
          <w:p>
            <w:pPr>
              <w:spacing w:before="20" w:after="20" w:line="252" w:lineRule="auto"/>
            </w:pPr>
            <w:r>
              <w:rPr>
                <w:rFonts w:ascii="Times New Roman" w:hAnsi="Times New Roman"/>
                <w:color w:val="000000"/>
                <w:sz w:val="17"/>
              </w:rPr>
              <w:t>Request timestamp</w:t>
            </w:r>
          </w:p>
        </w:tc>
      </w:tr>
    </w:tbl>
    <w:p>
      <w:pPr>
        <w:keepNext/>
        <w:spacing w:before="140" w:after="40" w:line="288" w:lineRule="auto"/>
      </w:pPr>
      <w:r>
        <w:rPr>
          <w:rFonts w:ascii="Times New Roman" w:hAnsi="Times New Roman"/>
          <w:b/>
          <w:color w:val="000000"/>
          <w:sz w:val="26"/>
        </w:rPr>
        <w:t>2.3 Database Indexing, Integrity, and Security</w:t>
      </w:r>
    </w:p>
    <w:p>
      <w:pPr>
        <w:pStyle w:val="ListBullet"/>
        <w:spacing w:line="360" w:lineRule="auto" w:after="60"/>
        <w:jc w:val="both"/>
      </w:pPr>
      <w:r>
        <w:rPr>
          <w:rFonts w:ascii="Times New Roman" w:hAnsi="Times New Roman"/>
          <w:b/>
          <w:color w:val="000000"/>
          <w:sz w:val="24"/>
        </w:rPr>
        <w:t xml:space="preserve">Indexing Strategy: </w:t>
      </w:r>
      <w:r>
        <w:rPr>
          <w:rFonts w:ascii="Times New Roman" w:hAnsi="Times New Roman"/>
          <w:color w:val="000000"/>
          <w:sz w:val="24"/>
        </w:rPr>
        <w:t>B-Tree primary key indexes provide O(1) lookups. Foreign keys (`owner_id`, `borrower_id`, `item_id`) are indexed to optimize relational JOIN performance.</w:t>
      </w:r>
    </w:p>
    <w:p>
      <w:pPr>
        <w:pStyle w:val="ListBullet"/>
        <w:spacing w:line="360" w:lineRule="auto" w:after="60"/>
        <w:jc w:val="both"/>
      </w:pPr>
      <w:r>
        <w:rPr>
          <w:rFonts w:ascii="Times New Roman" w:hAnsi="Times New Roman"/>
          <w:b/>
          <w:color w:val="000000"/>
          <w:sz w:val="24"/>
        </w:rPr>
        <w:t xml:space="preserve">Security Controls: </w:t>
      </w:r>
      <w:r>
        <w:rPr>
          <w:rFonts w:ascii="Times New Roman" w:hAnsi="Times New Roman"/>
          <w:color w:val="000000"/>
          <w:sz w:val="24"/>
        </w:rPr>
        <w:t>All cloud database connections use TLS 1.2+ encryption over port 4000. Parameterized SQL queries completely eliminate SQL injection threats.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Second Review Report — Design: System Design &amp;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