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Times New Roman" w:hAnsi="Times New Roman"/>
          <w:b/>
          <w:color w:val="000000"/>
          <w:sz w:val="28"/>
        </w:rPr>
        <w:t>FINAL REVIEW - CONCLUSION</w:t>
      </w:r>
    </w:p>
    <w:p>
      <w:pPr>
        <w:spacing w:before="0" w:after="80" w:line="276" w:lineRule="auto"/>
        <w:jc w:val="center"/>
      </w:pPr>
      <w:r>
        <w:rPr>
          <w:rFonts w:ascii="Times New Roman" w:hAnsi="Times New Roman"/>
          <w:i/>
          <w:color w:val="000000"/>
          <w:sz w:val="20"/>
        </w:rPr>
        <w:t>Community Lending Platform for Sharing and Borrowing Household Resources</w:t>
      </w:r>
    </w:p>
    <w:p>
      <w:pPr>
        <w:keepNext/>
        <w:spacing w:before="40" w:after="20"/>
        <w:jc w:val="center"/>
      </w:pPr>
      <w:r>
        <w:drawing>
          <wp:inline xmlns:a="http://schemas.openxmlformats.org/drawingml/2006/main" xmlns:pic="http://schemas.openxmlformats.org/drawingml/2006/picture">
            <wp:extent cx="3017520" cy="2011680"/>
            <wp:docPr id="1" name="Picture 1"/>
            <wp:cNvGraphicFramePr>
              <a:graphicFrameLocks noChangeAspect="1"/>
            </wp:cNvGraphicFramePr>
            <a:graphic>
              <a:graphicData uri="http://schemas.openxmlformats.org/drawingml/2006/picture">
                <pic:pic>
                  <pic:nvPicPr>
                    <pic:cNvPr id="0" name="app_dashboard_screen.png"/>
                    <pic:cNvPicPr/>
                  </pic:nvPicPr>
                  <pic:blipFill>
                    <a:blip r:embed="rId11"/>
                    <a:stretch>
                      <a:fillRect/>
                    </a:stretch>
                  </pic:blipFill>
                  <pic:spPr>
                    <a:xfrm>
                      <a:off x="0" y="0"/>
                      <a:ext cx="3017520" cy="2011680"/>
                    </a:xfrm>
                    <a:prstGeom prst="rect"/>
                  </pic:spPr>
                </pic:pic>
              </a:graphicData>
            </a:graphic>
          </wp:inline>
        </w:drawing>
      </w:r>
    </w:p>
    <w:p>
      <w:pPr>
        <w:keepNext/>
        <w:spacing w:before="20" w:after="80" w:line="276" w:lineRule="auto"/>
        <w:jc w:val="both"/>
      </w:pPr>
      <w:r>
        <w:rPr>
          <w:rFonts w:ascii="Times New Roman" w:hAnsi="Times New Roman"/>
          <w:b/>
          <w:color w:val="000000"/>
          <w:sz w:val="19"/>
        </w:rPr>
        <w:t xml:space="preserve">Illustrative Demo Screenshot: </w:t>
      </w:r>
      <w:r>
        <w:rPr>
          <w:rFonts w:ascii="Times New Roman" w:hAnsi="Times New Roman"/>
          <w:color w:val="000000"/>
          <w:sz w:val="19"/>
        </w:rPr>
        <w:t>Library and community dashboard showing item availability and recent transactions. This image was rendered from the live platform interface.</w:t>
      </w:r>
    </w:p>
    <w:p>
      <w:pPr>
        <w:keepNext/>
        <w:spacing w:before="100" w:after="20" w:line="276" w:lineRule="auto"/>
      </w:pPr>
      <w:r>
        <w:rPr>
          <w:rFonts w:ascii="Times New Roman" w:hAnsi="Times New Roman"/>
          <w:b/>
          <w:color w:val="000000"/>
          <w:sz w:val="26"/>
        </w:rPr>
        <w:t>Conclusion</w:t>
      </w:r>
    </w:p>
    <w:p>
      <w:pPr>
        <w:spacing w:line="360" w:lineRule="auto" w:before="0" w:after="40"/>
        <w:jc w:val="both"/>
      </w:pPr>
      <w:r>
        <w:rPr>
          <w:rFonts w:ascii="Times New Roman" w:hAnsi="Times New Roman"/>
          <w:color w:val="000000"/>
          <w:sz w:val="22"/>
        </w:rPr>
        <w:t>The Community Item Lending System was developed as an academic prototype to simplify the management of shared items, members, and borrowing transactions. It replaces repetitive manual registers with a structured interface for maintaining records, issuing available items, recording returns, and reviewing transaction history.</w:t>
      </w:r>
    </w:p>
    <w:p>
      <w:pPr>
        <w:spacing w:line="360" w:lineRule="auto" w:before="0" w:after="40"/>
        <w:jc w:val="both"/>
      </w:pPr>
      <w:r>
        <w:rPr>
          <w:rFonts w:ascii="Times New Roman" w:hAnsi="Times New Roman"/>
          <w:color w:val="000000"/>
          <w:sz w:val="22"/>
        </w:rPr>
        <w:t>The demonstration prototype achieved the main project objectives. It maintains item-availability information, connects transactions with registered members, and summarizes recent activity. Functional checks covered login, item creation, member registration, item issue, item return, and status updates. The observed results matched the expected outcomes.</w:t>
      </w:r>
    </w:p>
    <w:p>
      <w:pPr>
        <w:keepNext/>
        <w:spacing w:before="100" w:after="20" w:line="276" w:lineRule="auto"/>
      </w:pPr>
      <w:r>
        <w:rPr>
          <w:rFonts w:ascii="Times New Roman" w:hAnsi="Times New Roman"/>
          <w:b/>
          <w:color w:val="000000"/>
          <w:sz w:val="26"/>
        </w:rPr>
        <w:t>Limitations and Lessons Learned</w:t>
      </w:r>
    </w:p>
    <w:p>
      <w:pPr>
        <w:spacing w:line="360" w:lineRule="auto" w:before="0" w:after="40"/>
        <w:jc w:val="both"/>
      </w:pPr>
      <w:r>
        <w:rPr>
          <w:rFonts w:ascii="Times New Roman" w:hAnsi="Times New Roman"/>
          <w:color w:val="000000"/>
          <w:sz w:val="22"/>
        </w:rPr>
        <w:t>The current version is designed for a small community environment and uses demonstration data. It does not include barcode scanning, reservations, fine calculation, notifications, or institutional login integration. The work provided practical understanding of requirements, database relationships, validation, transaction processing, testing, and interface design.</w:t>
      </w:r>
    </w:p>
    <w:p>
      <w:pPr>
        <w:keepNext/>
        <w:spacing w:before="100" w:after="20" w:line="276" w:lineRule="auto"/>
      </w:pPr>
      <w:r>
        <w:rPr>
          <w:rFonts w:ascii="Times New Roman" w:hAnsi="Times New Roman"/>
          <w:b/>
          <w:color w:val="000000"/>
          <w:sz w:val="26"/>
        </w:rPr>
        <w:t>Further Enhancements</w:t>
      </w:r>
    </w:p>
    <w:p>
      <w:pPr>
        <w:spacing w:line="360" w:lineRule="auto" w:before="0" w:after="30"/>
        <w:ind w:left="288"/>
        <w:jc w:val="both"/>
      </w:pPr>
      <w:r>
        <w:rPr>
          <w:rFonts w:ascii="Times New Roman" w:hAnsi="Times New Roman"/>
          <w:b/>
          <w:color w:val="000000"/>
          <w:sz w:val="22"/>
        </w:rPr>
        <w:t xml:space="preserve">- Barcode / QR-code - </w:t>
      </w:r>
      <w:r>
        <w:rPr>
          <w:rFonts w:ascii="Times New Roman" w:hAnsi="Times New Roman"/>
          <w:color w:val="000000"/>
          <w:sz w:val="22"/>
        </w:rPr>
        <w:t>Add barcode or QR-code support for faster item issue and return.</w:t>
      </w:r>
    </w:p>
    <w:p>
      <w:pPr>
        <w:spacing w:line="360" w:lineRule="auto" w:before="0" w:after="30"/>
        <w:ind w:left="288"/>
        <w:jc w:val="both"/>
      </w:pPr>
      <w:r>
        <w:rPr>
          <w:rFonts w:ascii="Times New Roman" w:hAnsi="Times New Roman"/>
          <w:b/>
          <w:color w:val="000000"/>
          <w:sz w:val="22"/>
        </w:rPr>
        <w:t xml:space="preserve">- Reservations &amp; alerts - </w:t>
      </w:r>
      <w:r>
        <w:rPr>
          <w:rFonts w:ascii="Times New Roman" w:hAnsi="Times New Roman"/>
          <w:color w:val="000000"/>
          <w:sz w:val="22"/>
        </w:rPr>
        <w:t>Provide reservation, renewal, fine-calculation, and reminder facilities.</w:t>
      </w:r>
    </w:p>
    <w:p>
      <w:pPr>
        <w:spacing w:line="360" w:lineRule="auto" w:before="0" w:after="30"/>
        <w:ind w:left="288"/>
        <w:jc w:val="both"/>
      </w:pPr>
      <w:r>
        <w:rPr>
          <w:rFonts w:ascii="Times New Roman" w:hAnsi="Times New Roman"/>
          <w:b/>
          <w:color w:val="000000"/>
          <w:sz w:val="22"/>
        </w:rPr>
        <w:t xml:space="preserve">- Role-based access - </w:t>
      </w:r>
      <w:r>
        <w:rPr>
          <w:rFonts w:ascii="Times New Roman" w:hAnsi="Times New Roman"/>
          <w:color w:val="000000"/>
          <w:sz w:val="22"/>
        </w:rPr>
        <w:t>Introduce role-based access for administrator, owner, and borrower users.</w:t>
      </w:r>
    </w:p>
    <w:p>
      <w:pPr>
        <w:spacing w:line="360" w:lineRule="auto" w:before="0" w:after="30"/>
        <w:ind w:left="288"/>
        <w:jc w:val="both"/>
      </w:pPr>
      <w:r>
        <w:rPr>
          <w:rFonts w:ascii="Times New Roman" w:hAnsi="Times New Roman"/>
          <w:b/>
          <w:color w:val="000000"/>
          <w:sz w:val="22"/>
        </w:rPr>
        <w:t xml:space="preserve">- Advanced reporting - </w:t>
      </w:r>
      <w:r>
        <w:rPr>
          <w:rFonts w:ascii="Times New Roman" w:hAnsi="Times New Roman"/>
          <w:color w:val="000000"/>
          <w:sz w:val="22"/>
        </w:rPr>
        <w:t>Add advanced reports, backup facilities, and institutional login integration.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7"/>
      </w:rPr>
      <w:t>Community Item Lending System — Final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17"/>
      </w:rPr>
      <w:t>Final Review Report — Conclusion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