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FINAL REVIEW - REFERENCES</w:t>
      </w:r>
    </w:p>
    <w:p>
      <w:pPr>
        <w:spacing w:before="0" w:after="80" w:line="276" w:lineRule="auto"/>
        <w:jc w:val="center"/>
      </w:pPr>
      <w:r>
        <w:rPr>
          <w:rFonts w:ascii="Times New Roman" w:hAnsi="Times New Roman"/>
          <w:i/>
          <w:color w:val="000000"/>
          <w:sz w:val="20"/>
        </w:rPr>
        <w:t>Community Lending Platform for Sharing and Borrowing Household Resources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3017520" cy="20619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browse_scre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061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" w:after="80" w:line="276" w:lineRule="auto"/>
        <w:jc w:val="both"/>
      </w:pPr>
      <w:r>
        <w:rPr>
          <w:rFonts w:ascii="Times New Roman" w:hAnsi="Times New Roman"/>
          <w:b/>
          <w:color w:val="000000"/>
          <w:sz w:val="19"/>
        </w:rPr>
        <w:t xml:space="preserve">Illustrative Demo Screenshot: </w:t>
      </w:r>
      <w:r>
        <w:rPr>
          <w:rFonts w:ascii="Times New Roman" w:hAnsi="Times New Roman"/>
          <w:color w:val="000000"/>
          <w:sz w:val="19"/>
        </w:rPr>
        <w:t>Fictional module-verification report and catalog search used in this academic sample. This image was rendered from the live platform interface.</w:t>
      </w:r>
    </w:p>
    <w:p>
      <w:pPr>
        <w:keepNext/>
        <w:spacing w:before="100" w:after="20" w:line="276" w:lineRule="auto"/>
      </w:pPr>
      <w:r>
        <w:rPr>
          <w:rFonts w:ascii="Times New Roman" w:hAnsi="Times New Roman"/>
          <w:b/>
          <w:color w:val="000000"/>
          <w:sz w:val="26"/>
        </w:rPr>
        <w:t>References</w:t>
      </w:r>
    </w:p>
    <w:p>
      <w:pPr>
        <w:spacing w:line="360" w:lineRule="auto" w:before="0" w:after="40"/>
        <w:jc w:val="both"/>
      </w:pPr>
      <w:r>
        <w:rPr>
          <w:rFonts w:ascii="Times New Roman" w:hAnsi="Times New Roman"/>
          <w:color w:val="000000"/>
          <w:sz w:val="22"/>
        </w:rPr>
        <w:t>The following examples are arranged alphabetically by author or organization name. Students should retain only the sources genuinely used for their own work:</w:t>
      </w:r>
    </w:p>
    <w:p>
      <w:pPr>
        <w:spacing w:line="360" w:lineRule="auto" w:before="0" w:after="30"/>
        <w:ind w:left="288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- Microsoft / Python - </w:t>
      </w:r>
      <w:r>
        <w:rPr>
          <w:rFonts w:ascii="Times New Roman" w:hAnsi="Times New Roman"/>
          <w:color w:val="000000"/>
          <w:sz w:val="22"/>
        </w:rPr>
        <w:t>Python 3.10 and Flask Web Framework Documentation, accessed October 2026.</w:t>
      </w:r>
    </w:p>
    <w:p>
      <w:pPr>
        <w:spacing w:line="360" w:lineRule="auto" w:before="0" w:after="30"/>
        <w:ind w:left="288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- PingCAP - </w:t>
      </w:r>
      <w:r>
        <w:rPr>
          <w:rFonts w:ascii="Times New Roman" w:hAnsi="Times New Roman"/>
          <w:color w:val="000000"/>
          <w:sz w:val="22"/>
        </w:rPr>
        <w:t>TiDB Serverless Cloud Relational Database Documentation, accessed October 2026.</w:t>
      </w:r>
    </w:p>
    <w:p>
      <w:pPr>
        <w:spacing w:line="360" w:lineRule="auto" w:before="0" w:after="30"/>
        <w:ind w:left="288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- Pressman, Roger S. - </w:t>
      </w:r>
      <w:r>
        <w:rPr>
          <w:rFonts w:ascii="Times New Roman" w:hAnsi="Times New Roman"/>
          <w:color w:val="000000"/>
          <w:sz w:val="22"/>
        </w:rPr>
        <w:t>and Bruce R. Maxim. Software Engineering: A Practitioner's Approach. McGraw-Hill Education.</w:t>
      </w:r>
    </w:p>
    <w:p>
      <w:pPr>
        <w:spacing w:line="360" w:lineRule="auto" w:before="0" w:after="30"/>
        <w:ind w:left="288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- Sommerville, Ian - </w:t>
      </w:r>
      <w:r>
        <w:rPr>
          <w:rFonts w:ascii="Times New Roman" w:hAnsi="Times New Roman"/>
          <w:color w:val="000000"/>
          <w:sz w:val="22"/>
        </w:rPr>
        <w:t>Software Engineering. Pearson.</w:t>
      </w:r>
    </w:p>
    <w:p>
      <w:pPr>
        <w:spacing w:line="360" w:lineRule="auto" w:before="0" w:after="30"/>
        <w:ind w:left="288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- Werkzeug Team - </w:t>
      </w:r>
      <w:r>
        <w:rPr>
          <w:rFonts w:ascii="Times New Roman" w:hAnsi="Times New Roman"/>
          <w:color w:val="000000"/>
          <w:sz w:val="22"/>
        </w:rPr>
        <w:t>Werkzeug Security and Password Hashing Library Documentation, accessed October 2026.</w:t>
      </w:r>
    </w:p>
    <w:p>
      <w:pPr>
        <w:keepNext/>
        <w:spacing w:before="100" w:after="20" w:line="276" w:lineRule="auto"/>
      </w:pPr>
      <w:r>
        <w:rPr>
          <w:rFonts w:ascii="Times New Roman" w:hAnsi="Times New Roman"/>
          <w:b/>
          <w:color w:val="000000"/>
          <w:sz w:val="26"/>
        </w:rPr>
        <w:t>Reference Preparation Notes</w:t>
      </w:r>
    </w:p>
    <w:p>
      <w:pPr>
        <w:spacing w:line="360" w:lineRule="auto" w:before="0" w:after="30"/>
        <w:ind w:left="288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- Consistent format - </w:t>
      </w:r>
      <w:r>
        <w:rPr>
          <w:rFonts w:ascii="Times New Roman" w:hAnsi="Times New Roman"/>
          <w:color w:val="000000"/>
          <w:sz w:val="22"/>
        </w:rPr>
        <w:t>Use one consistent format throughout the reference list.</w:t>
      </w:r>
    </w:p>
    <w:p>
      <w:pPr>
        <w:spacing w:line="360" w:lineRule="auto" w:before="0" w:after="30"/>
        <w:ind w:left="288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- Clear author names - </w:t>
      </w:r>
      <w:r>
        <w:rPr>
          <w:rFonts w:ascii="Times New Roman" w:hAnsi="Times New Roman"/>
          <w:color w:val="000000"/>
          <w:sz w:val="22"/>
        </w:rPr>
        <w:t>Write author or organization names clearly.</w:t>
      </w:r>
    </w:p>
    <w:p>
      <w:pPr>
        <w:spacing w:line="360" w:lineRule="auto" w:before="0" w:after="30"/>
        <w:ind w:left="288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- Complete details - </w:t>
      </w:r>
      <w:r>
        <w:rPr>
          <w:rFonts w:ascii="Times New Roman" w:hAnsi="Times New Roman"/>
          <w:color w:val="000000"/>
          <w:sz w:val="22"/>
        </w:rPr>
        <w:t>Include the title, publisher or website, and publication year where available.</w:t>
      </w:r>
    </w:p>
    <w:p>
      <w:pPr>
        <w:spacing w:line="360" w:lineRule="auto" w:before="0" w:after="30"/>
        <w:ind w:left="288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- Alphabetical order - </w:t>
      </w:r>
      <w:r>
        <w:rPr>
          <w:rFonts w:ascii="Times New Roman" w:hAnsi="Times New Roman"/>
          <w:color w:val="000000"/>
          <w:sz w:val="22"/>
        </w:rPr>
        <w:t>Arrange the final list alphabetically by author name.</w:t>
      </w:r>
    </w:p>
    <w:p>
      <w:pPr>
        <w:spacing w:line="360" w:lineRule="auto" w:before="0" w:after="30"/>
        <w:ind w:left="288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- Genuine sources - </w:t>
      </w:r>
      <w:r>
        <w:rPr>
          <w:rFonts w:ascii="Times New Roman" w:hAnsi="Times New Roman"/>
          <w:color w:val="000000"/>
          <w:sz w:val="22"/>
        </w:rPr>
        <w:t>Do not list sources that were not used in the project or internship.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17"/>
      </w:rPr>
      <w:t>Community Item Lending System — Final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000000"/>
        <w:sz w:val="17"/>
      </w:rPr>
      <w:t>Final Review Report — References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