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Times New Roman" w:hAnsi="Times New Roman"/>
          <w:b/>
          <w:color w:val="1E3A8A"/>
          <w:sz w:val="44"/>
        </w:rPr>
        <w:t>ABSTRACT</w:t>
      </w:r>
    </w:p>
    <w:p>
      <w:pPr>
        <w:spacing w:before="0" w:after="280"/>
        <w:jc w:val="left"/>
      </w:pPr>
      <w:r>
        <w:rPr>
          <w:rFonts w:ascii="Times New Roman" w:hAnsi="Times New Roman"/>
          <w:i/>
          <w:color w:val="64748B"/>
          <w:sz w:val="22"/>
        </w:rPr>
        <w:t>Project Work: Community Lending Platform for Sharing and Borrowing Household Resources</w:t>
      </w:r>
    </w:p>
    <w:p>
      <w:pPr>
        <w:keepNext/>
        <w:spacing w:before="280" w:after="80"/>
      </w:pPr>
      <w:r>
        <w:rPr>
          <w:rFonts w:ascii="Times New Roman" w:hAnsi="Times New Roman"/>
          <w:b/>
          <w:color w:val="1E3A8A"/>
          <w:sz w:val="28"/>
        </w:rPr>
        <w:t>1. Project Overview &amp; Socioeconomic Context</w:t>
      </w:r>
    </w:p>
    <w:p>
      <w:pPr>
        <w:spacing w:line="300" w:lineRule="auto" w:after="120"/>
        <w:jc w:val="both"/>
      </w:pPr>
      <w:r>
        <w:rPr>
          <w:rFonts w:ascii="Times New Roman" w:hAnsi="Times New Roman"/>
          <w:sz w:val="24"/>
        </w:rPr>
        <w:t>In contemporary residential societies, urban apartment complexes, and suburban neighborhoods, households continuously expend substantial financial resources purchasing durable physical items—including electrical power tools, lawn care equipment, specialized electronics, sports equipment, and academic reference literature—that are utilized for only a tiny fraction of their operational lifespan. This rampant consumerist dynamic leads to significant financial waste for families, domestic clutter, and accelerated industrial carbon emissions caused by unnecessary mass manufacturing. The Community Lending Platform is a full-stack, cloud-integrated collaborative software ecosystem engineered to transition residential communities from an ownership-centric paradigm into a sustainable, hyper-local access economy.</w:t>
      </w:r>
    </w:p>
    <w:p>
      <w:pPr>
        <w:keepNext/>
        <w:spacing w:before="280" w:after="80"/>
      </w:pPr>
      <w:r>
        <w:rPr>
          <w:rFonts w:ascii="Times New Roman" w:hAnsi="Times New Roman"/>
          <w:b/>
          <w:color w:val="1E3A8A"/>
          <w:sz w:val="28"/>
        </w:rPr>
        <w:t>2. Objectives, Photographic Verification &amp; Core Accomplishments</w:t>
      </w:r>
    </w:p>
    <w:p>
      <w:pPr>
        <w:spacing w:line="300" w:lineRule="auto" w:after="120"/>
        <w:jc w:val="both"/>
      </w:pPr>
      <w:r>
        <w:rPr>
          <w:rFonts w:ascii="Times New Roman" w:hAnsi="Times New Roman"/>
          <w:sz w:val="24"/>
        </w:rPr>
        <w:t>The primary objective of this project is to provide a secure, authenticated digital platform enabling community members to catalog, list, and verify items they are willing to share with neighbors. A major functional milestone accomplished is the integration of an end-to-end photographic verification pipeline, allowing owners to capture and attach real-time photos of items during listing, ensuring condition transparency and eliminating disputes. Borrowers can seamlessly discover resources via live search and category filtering, transmit structured borrow requests, and coordinate physical exchanges.</w:t>
      </w:r>
    </w:p>
    <w:p>
      <w:pPr>
        <w:keepNext/>
        <w:spacing w:before="280" w:after="80"/>
      </w:pPr>
      <w:r>
        <w:rPr>
          <w:rFonts w:ascii="Times New Roman" w:hAnsi="Times New Roman"/>
          <w:b/>
          <w:color w:val="1E3A8A"/>
          <w:sz w:val="28"/>
        </w:rPr>
        <w:t>3. System Architecture, Finite State Workflows &amp; Impact</w:t>
      </w:r>
    </w:p>
    <w:p>
      <w:pPr>
        <w:spacing w:line="300" w:lineRule="auto" w:after="120"/>
        <w:jc w:val="both"/>
      </w:pPr>
      <w:r>
        <w:rPr>
          <w:rFonts w:ascii="Times New Roman" w:hAnsi="Times New Roman"/>
          <w:sz w:val="24"/>
        </w:rPr>
        <w:t>To preserve data integrity, the system implements a deterministic finite state machine governing lending lifecycles across discrete stages: Pending, Approved, Rejected, and Returned. The system enforces atomic consistency, automatically toggling resource availability between 'Available' and 'Lent' to eliminate duplicate booking conflicts. Developed using Python (Flask), a high-availability cloud database (TiDB Serverless MySQL with TLS encryption), and a responsive modern web UI, the platform also exposes a standardized JSON REST API supporting native mobile client extensions. The platform fosters social bonding, financial frugality, and circular economic sustainability.</w:t>
      </w:r>
    </w:p>
    <w:p>
      <w:pPr>
        <w:spacing w:before="200" w:after="0"/>
      </w:pPr>
      <w:r>
        <w:rPr>
          <w:rFonts w:ascii="Times New Roman" w:hAnsi="Times New Roman"/>
          <w:b/>
          <w:sz w:val="22"/>
        </w:rPr>
        <w:t xml:space="preserve">Keywords: </w:t>
      </w:r>
      <w:r>
        <w:rPr>
          <w:rFonts w:ascii="Times New Roman" w:hAnsi="Times New Roman"/>
          <w:i/>
          <w:sz w:val="22"/>
        </w:rPr>
        <w:t>Collaborative Consumption, Resource Sharing, Circular Economy, Cloud MySQL, Python Flask, Photo Verification, State Machine, REST API.</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First Review Report — Abstract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