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left"/>
      </w:pPr>
      <w:r>
        <w:rPr>
          <w:rFonts w:ascii="Times New Roman" w:hAnsi="Times New Roman"/>
          <w:b/>
          <w:color w:val="000000"/>
          <w:sz w:val="32"/>
        </w:rPr>
        <w:t>1. DESIGN: SYSTEM DESIGN AND DATABASE DESIGN</w:t>
      </w:r>
    </w:p>
    <w:p>
      <w:pPr>
        <w:spacing w:before="0" w:after="200" w:line="276" w:lineRule="auto"/>
        <w:jc w:val="left"/>
      </w:pPr>
      <w:r>
        <w:rPr>
          <w:rFonts w:ascii="Times New Roman" w:hAnsi="Times New Roman"/>
          <w:i/>
          <w:color w:val="000000"/>
          <w:sz w:val="22"/>
        </w:rPr>
        <w:t>Project Work: Community Lending Platform for Sharing and Borrowing Household Resources — Second Review</w:t>
      </w:r>
    </w:p>
    <w:p>
      <w:pPr>
        <w:keepNext/>
        <w:spacing w:before="200" w:after="60" w:line="288" w:lineRule="auto"/>
      </w:pPr>
      <w:r>
        <w:rPr>
          <w:rFonts w:ascii="Times New Roman" w:hAnsi="Times New Roman"/>
          <w:b/>
          <w:color w:val="000000"/>
          <w:sz w:val="28"/>
        </w:rPr>
        <w:t>1. System Design Specification</w:t>
      </w:r>
    </w:p>
    <w:p>
      <w:pPr>
        <w:spacing w:line="360" w:lineRule="auto" w:after="80"/>
        <w:jc w:val="both"/>
      </w:pPr>
      <w:r>
        <w:rPr>
          <w:rFonts w:ascii="Times New Roman" w:hAnsi="Times New Roman"/>
          <w:color w:val="000000"/>
          <w:sz w:val="24"/>
        </w:rPr>
        <w:t>The system design establishes the structural and behavioral architecture of the Community Lending Platform web application. The platform provides a decentralized, neighborhood-level web portal where residents can list unused household items and borrow resources from neighbors. By decoupling the presentation views, business logic controllers, and database persistence layers, the system guarantees high cohesion, maintainability, and data security.</w:t>
      </w:r>
    </w:p>
    <w:p>
      <w:pPr>
        <w:keepNext/>
        <w:spacing w:before="140" w:after="40" w:line="288" w:lineRule="auto"/>
      </w:pPr>
      <w:r>
        <w:rPr>
          <w:rFonts w:ascii="Times New Roman" w:hAnsi="Times New Roman"/>
          <w:b/>
          <w:color w:val="000000"/>
          <w:sz w:val="26"/>
        </w:rPr>
        <w:t>1.1 Layered Architectural Design</w:t>
      </w:r>
    </w:p>
    <w:p>
      <w:pPr>
        <w:spacing w:line="360" w:lineRule="auto" w:after="80"/>
        <w:jc w:val="both"/>
      </w:pPr>
      <w:r>
        <w:rPr>
          <w:rFonts w:ascii="Times New Roman" w:hAnsi="Times New Roman"/>
          <w:color w:val="000000"/>
          <w:sz w:val="24"/>
        </w:rPr>
        <w:t>The web application follows an N-tier client-server architectural pattern structured into four distinct layers:</w:t>
      </w:r>
    </w:p>
    <w:p>
      <w:pPr>
        <w:pStyle w:val="ListBullet"/>
        <w:spacing w:line="360" w:lineRule="auto" w:after="60"/>
        <w:jc w:val="both"/>
      </w:pPr>
      <w:r>
        <w:rPr>
          <w:rFonts w:ascii="Times New Roman" w:hAnsi="Times New Roman"/>
          <w:b/>
          <w:color w:val="000000"/>
          <w:sz w:val="24"/>
        </w:rPr>
        <w:t xml:space="preserve">Presentation Tier (Client): </w:t>
      </w:r>
      <w:r>
        <w:rPr>
          <w:rFonts w:ascii="Times New Roman" w:hAnsi="Times New Roman"/>
          <w:color w:val="000000"/>
          <w:sz w:val="24"/>
        </w:rPr>
        <w:t>Built using responsive HTML5, CSS3, and JavaScript ES6+. The user interface renders smoothly on desktop, tablet, and mobile web browsers without requiring separate native applications.</w:t>
      </w:r>
    </w:p>
    <w:p>
      <w:pPr>
        <w:pStyle w:val="ListBullet"/>
        <w:spacing w:line="360" w:lineRule="auto" w:after="60"/>
        <w:jc w:val="both"/>
      </w:pPr>
      <w:r>
        <w:rPr>
          <w:rFonts w:ascii="Times New Roman" w:hAnsi="Times New Roman"/>
          <w:b/>
          <w:color w:val="000000"/>
          <w:sz w:val="24"/>
        </w:rPr>
        <w:t xml:space="preserve">Application Gateway Tier (Web Server): </w:t>
      </w:r>
      <w:r>
        <w:rPr>
          <w:rFonts w:ascii="Times New Roman" w:hAnsi="Times New Roman"/>
          <w:color w:val="000000"/>
          <w:sz w:val="24"/>
        </w:rPr>
        <w:t>Managed by Gunicorn (WSGI HTTP server) on Render Cloud. It accepts incoming HTTPS web traffic, terminates SSL/TLS connections, and routes requests to the application workers.</w:t>
      </w:r>
    </w:p>
    <w:p>
      <w:pPr>
        <w:pStyle w:val="ListBullet"/>
        <w:spacing w:line="360" w:lineRule="auto" w:after="60"/>
        <w:jc w:val="both"/>
      </w:pPr>
      <w:r>
        <w:rPr>
          <w:rFonts w:ascii="Times New Roman" w:hAnsi="Times New Roman"/>
          <w:b/>
          <w:color w:val="000000"/>
          <w:sz w:val="24"/>
        </w:rPr>
        <w:t xml:space="preserve">Business Logic Tier (Application Server): </w:t>
      </w:r>
      <w:r>
        <w:rPr>
          <w:rFonts w:ascii="Times New Roman" w:hAnsi="Times New Roman"/>
          <w:color w:val="000000"/>
          <w:sz w:val="24"/>
        </w:rPr>
        <w:t>Comprises Python Flask route controllers in `app.py`. It handles cryptographic password hashing, user session verification, input sanitization, file uploads, and lending request state transitions.</w:t>
      </w:r>
    </w:p>
    <w:p>
      <w:pPr>
        <w:pStyle w:val="ListBullet"/>
        <w:spacing w:line="360" w:lineRule="auto" w:after="60"/>
        <w:jc w:val="both"/>
      </w:pPr>
      <w:r>
        <w:rPr>
          <w:rFonts w:ascii="Times New Roman" w:hAnsi="Times New Roman"/>
          <w:b/>
          <w:color w:val="000000"/>
          <w:sz w:val="24"/>
        </w:rPr>
        <w:t xml:space="preserve">Data Persistence Tier (Database): </w:t>
      </w:r>
      <w:r>
        <w:rPr>
          <w:rFonts w:ascii="Times New Roman" w:hAnsi="Times New Roman"/>
          <w:color w:val="000000"/>
          <w:sz w:val="24"/>
        </w:rPr>
        <w:t>Powered by TiDB Serverless Cloud running the MySQL 8.0 protocol for ACID-compliant relational data storage, alongside local static disk storage for uploaded item photographs.</w:t>
      </w:r>
    </w:p>
    <w:p>
      <w:pPr>
        <w:keepNext/>
        <w:spacing w:before="140" w:after="40" w:line="288" w:lineRule="auto"/>
      </w:pPr>
      <w:r>
        <w:rPr>
          <w:rFonts w:ascii="Times New Roman" w:hAnsi="Times New Roman"/>
          <w:b/>
          <w:color w:val="000000"/>
          <w:sz w:val="26"/>
        </w:rPr>
        <w:t>1.2 Data Flow Diagrams (DFD) — Levels 0, 1, and 2</w:t>
      </w:r>
    </w:p>
    <w:p>
      <w:pPr>
        <w:spacing w:line="360" w:lineRule="auto" w:after="80"/>
        <w:jc w:val="both"/>
      </w:pPr>
      <w:r>
        <w:rPr>
          <w:rFonts w:ascii="Times New Roman" w:hAnsi="Times New Roman"/>
          <w:color w:val="000000"/>
          <w:sz w:val="24"/>
        </w:rPr>
        <w:t>Data Flow Diagrams model the movement, transformation, and storage of information throughout the web application across three increasing levels of detail.</w:t>
      </w:r>
    </w:p>
    <w:p>
      <w:pPr>
        <w:keepNext/>
        <w:spacing w:before="160" w:after="60"/>
        <w:jc w:val="center"/>
      </w:pPr>
      <w:r>
        <w:drawing>
          <wp:inline xmlns:a="http://schemas.openxmlformats.org/drawingml/2006/main" xmlns:pic="http://schemas.openxmlformats.org/drawingml/2006/picture">
            <wp:extent cx="4297680" cy="2332570"/>
            <wp:docPr id="1" name="Picture 1"/>
            <wp:cNvGraphicFramePr>
              <a:graphicFrameLocks noChangeAspect="1"/>
            </wp:cNvGraphicFramePr>
            <a:graphic>
              <a:graphicData uri="http://schemas.openxmlformats.org/drawingml/2006/picture">
                <pic:pic>
                  <pic:nvPicPr>
                    <pic:cNvPr id="0" name="fig1_dfd_level0.png"/>
                    <pic:cNvPicPr/>
                  </pic:nvPicPr>
                  <pic:blipFill>
                    <a:blip r:embed="rId10"/>
                    <a:stretch>
                      <a:fillRect/>
                    </a:stretch>
                  </pic:blipFill>
                  <pic:spPr>
                    <a:xfrm>
                      <a:off x="0" y="0"/>
                      <a:ext cx="4297680" cy="2332570"/>
                    </a:xfrm>
                    <a:prstGeom prst="rect"/>
                  </pic:spPr>
                </pic:pic>
              </a:graphicData>
            </a:graphic>
          </wp:inline>
        </w:drawing>
      </w:r>
    </w:p>
    <w:p>
      <w:pPr>
        <w:keepNext/>
        <w:spacing w:before="0" w:after="160"/>
        <w:jc w:val="center"/>
      </w:pPr>
      <w:r>
        <w:rPr>
          <w:rFonts w:ascii="Times New Roman" w:hAnsi="Times New Roman"/>
          <w:b/>
          <w:color w:val="000000"/>
          <w:sz w:val="20"/>
        </w:rPr>
        <w:t>Figure 1: DFD Level 0 — Context Diagram</w:t>
      </w:r>
    </w:p>
    <w:p>
      <w:pPr>
        <w:spacing w:line="360" w:lineRule="auto" w:after="80"/>
        <w:jc w:val="both"/>
      </w:pPr>
      <w:r>
        <w:rPr>
          <w:rFonts w:ascii="Times New Roman" w:hAnsi="Times New Roman"/>
          <w:color w:val="000000"/>
          <w:sz w:val="24"/>
        </w:rPr>
        <w:t>The Context Level Diagram (Level 0) represents the entire Community Lending System as a single central process interacting with external human and institutional entities. Item Owners provide resource details and respond to borrow requests, Borrowers search the catalog and submit borrow requests, and Administrators monitor platform activity and audit transactions.</w:t>
      </w:r>
    </w:p>
    <w:p>
      <w:pPr>
        <w:keepNext/>
        <w:spacing w:before="160" w:after="60"/>
        <w:jc w:val="center"/>
      </w:pPr>
      <w:r>
        <w:drawing>
          <wp:inline xmlns:a="http://schemas.openxmlformats.org/drawingml/2006/main" xmlns:pic="http://schemas.openxmlformats.org/drawingml/2006/picture">
            <wp:extent cx="4297680" cy="2511295"/>
            <wp:docPr id="2" name="Picture 2"/>
            <wp:cNvGraphicFramePr>
              <a:graphicFrameLocks noChangeAspect="1"/>
            </wp:cNvGraphicFramePr>
            <a:graphic>
              <a:graphicData uri="http://schemas.openxmlformats.org/drawingml/2006/picture">
                <pic:pic>
                  <pic:nvPicPr>
                    <pic:cNvPr id="0" name="fig2_dfd_level1.png"/>
                    <pic:cNvPicPr/>
                  </pic:nvPicPr>
                  <pic:blipFill>
                    <a:blip r:embed="rId11"/>
                    <a:stretch>
                      <a:fillRect/>
                    </a:stretch>
                  </pic:blipFill>
                  <pic:spPr>
                    <a:xfrm>
                      <a:off x="0" y="0"/>
                      <a:ext cx="4297680" cy="2511295"/>
                    </a:xfrm>
                    <a:prstGeom prst="rect"/>
                  </pic:spPr>
                </pic:pic>
              </a:graphicData>
            </a:graphic>
          </wp:inline>
        </w:drawing>
      </w:r>
    </w:p>
    <w:p>
      <w:pPr>
        <w:keepNext/>
        <w:spacing w:before="0" w:after="160"/>
        <w:jc w:val="center"/>
      </w:pPr>
      <w:r>
        <w:rPr>
          <w:rFonts w:ascii="Times New Roman" w:hAnsi="Times New Roman"/>
          <w:b/>
          <w:color w:val="000000"/>
          <w:sz w:val="20"/>
        </w:rPr>
        <w:t>Figure 2: DFD Level 1 — Subsystem Process Diagram</w:t>
      </w:r>
    </w:p>
    <w:p>
      <w:pPr>
        <w:spacing w:line="360" w:lineRule="auto" w:after="80"/>
        <w:jc w:val="both"/>
      </w:pPr>
      <w:r>
        <w:rPr>
          <w:rFonts w:ascii="Times New Roman" w:hAnsi="Times New Roman"/>
          <w:color w:val="000000"/>
          <w:sz w:val="24"/>
        </w:rPr>
        <w:t>The Level 1 DFD decomposes the central application into four core functional subsystems: (1.0) User Authentication and Profile Management, (2.0) Item Catalog Listing, (3.0) Search and Discovery Engine, and (4.0) Lending State Workflow Engine, showing data flows between subsystems and persistent tables (`users`, `items`, `lending_requests`).</w:t>
      </w:r>
    </w:p>
    <w:p>
      <w:pPr>
        <w:keepNext/>
        <w:spacing w:before="160" w:after="60"/>
        <w:jc w:val="center"/>
      </w:pPr>
      <w:r>
        <w:drawing>
          <wp:inline xmlns:a="http://schemas.openxmlformats.org/drawingml/2006/main" xmlns:pic="http://schemas.openxmlformats.org/drawingml/2006/picture">
            <wp:extent cx="4297680" cy="2194772"/>
            <wp:docPr id="3" name="Picture 3"/>
            <wp:cNvGraphicFramePr>
              <a:graphicFrameLocks noChangeAspect="1"/>
            </wp:cNvGraphicFramePr>
            <a:graphic>
              <a:graphicData uri="http://schemas.openxmlformats.org/drawingml/2006/picture">
                <pic:pic>
                  <pic:nvPicPr>
                    <pic:cNvPr id="0" name="fig3_dfd_level2.png"/>
                    <pic:cNvPicPr/>
                  </pic:nvPicPr>
                  <pic:blipFill>
                    <a:blip r:embed="rId12"/>
                    <a:stretch>
                      <a:fillRect/>
                    </a:stretch>
                  </pic:blipFill>
                  <pic:spPr>
                    <a:xfrm>
                      <a:off x="0" y="0"/>
                      <a:ext cx="4297680" cy="2194772"/>
                    </a:xfrm>
                    <a:prstGeom prst="rect"/>
                  </pic:spPr>
                </pic:pic>
              </a:graphicData>
            </a:graphic>
          </wp:inline>
        </w:drawing>
      </w:r>
    </w:p>
    <w:p>
      <w:pPr>
        <w:keepNext/>
        <w:spacing w:before="0" w:after="160"/>
        <w:jc w:val="center"/>
      </w:pPr>
      <w:r>
        <w:rPr>
          <w:rFonts w:ascii="Times New Roman" w:hAnsi="Times New Roman"/>
          <w:b/>
          <w:color w:val="000000"/>
          <w:sz w:val="20"/>
        </w:rPr>
        <w:t>Figure 3: DFD Level 2 — Borrow Request &amp; State Lifecycle</w:t>
      </w:r>
    </w:p>
    <w:p>
      <w:pPr>
        <w:spacing w:line="360" w:lineRule="auto" w:after="80"/>
        <w:jc w:val="both"/>
      </w:pPr>
      <w:r>
        <w:rPr>
          <w:rFonts w:ascii="Times New Roman" w:hAnsi="Times New Roman"/>
          <w:color w:val="000000"/>
          <w:sz w:val="24"/>
        </w:rPr>
        <w:t>The Level 2 DFD details the complete transaction lifecycle of a borrow request. It traces the operational sequence: validating item availability, inserting a pending request record, notifying the owner, processing approval or rejection, and updating resource availability back to 'Available' upon return confirmation.</w:t>
      </w:r>
    </w:p>
    <w:p>
      <w:pPr>
        <w:keepNext/>
        <w:spacing w:before="140" w:after="40" w:line="288" w:lineRule="auto"/>
      </w:pPr>
      <w:r>
        <w:rPr>
          <w:rFonts w:ascii="Times New Roman" w:hAnsi="Times New Roman"/>
          <w:b/>
          <w:color w:val="000000"/>
          <w:sz w:val="26"/>
        </w:rPr>
        <w:t>1.3 Unified Modeling Language (UML) Diagrams</w:t>
      </w:r>
    </w:p>
    <w:p>
      <w:pPr>
        <w:spacing w:line="360" w:lineRule="auto" w:after="80"/>
        <w:jc w:val="both"/>
      </w:pPr>
      <w:r>
        <w:rPr>
          <w:rFonts w:ascii="Times New Roman" w:hAnsi="Times New Roman"/>
          <w:color w:val="000000"/>
          <w:sz w:val="24"/>
        </w:rPr>
        <w:t>UML diagrams provide standard object-oriented blueprints depicting user interactions and internal class relationships.</w:t>
      </w:r>
    </w:p>
    <w:p>
      <w:pPr>
        <w:keepNext/>
        <w:spacing w:before="160" w:after="60"/>
        <w:jc w:val="center"/>
      </w:pPr>
      <w:r>
        <w:drawing>
          <wp:inline xmlns:a="http://schemas.openxmlformats.org/drawingml/2006/main" xmlns:pic="http://schemas.openxmlformats.org/drawingml/2006/picture">
            <wp:extent cx="4297680" cy="2518297"/>
            <wp:docPr id="4" name="Picture 4"/>
            <wp:cNvGraphicFramePr>
              <a:graphicFrameLocks noChangeAspect="1"/>
            </wp:cNvGraphicFramePr>
            <a:graphic>
              <a:graphicData uri="http://schemas.openxmlformats.org/drawingml/2006/picture">
                <pic:pic>
                  <pic:nvPicPr>
                    <pic:cNvPr id="0" name="fig4_uml_use_case.png"/>
                    <pic:cNvPicPr/>
                  </pic:nvPicPr>
                  <pic:blipFill>
                    <a:blip r:embed="rId13"/>
                    <a:stretch>
                      <a:fillRect/>
                    </a:stretch>
                  </pic:blipFill>
                  <pic:spPr>
                    <a:xfrm>
                      <a:off x="0" y="0"/>
                      <a:ext cx="4297680" cy="2518297"/>
                    </a:xfrm>
                    <a:prstGeom prst="rect"/>
                  </pic:spPr>
                </pic:pic>
              </a:graphicData>
            </a:graphic>
          </wp:inline>
        </w:drawing>
      </w:r>
    </w:p>
    <w:p>
      <w:pPr>
        <w:keepNext/>
        <w:spacing w:before="0" w:after="160"/>
        <w:jc w:val="center"/>
      </w:pPr>
      <w:r>
        <w:rPr>
          <w:rFonts w:ascii="Times New Roman" w:hAnsi="Times New Roman"/>
          <w:b/>
          <w:color w:val="000000"/>
          <w:sz w:val="20"/>
        </w:rPr>
        <w:t>Figure 4: UML Use Case Diagram</w:t>
      </w:r>
    </w:p>
    <w:p>
      <w:pPr>
        <w:spacing w:line="360" w:lineRule="auto" w:after="80"/>
        <w:jc w:val="both"/>
      </w:pPr>
      <w:r>
        <w:rPr>
          <w:rFonts w:ascii="Times New Roman" w:hAnsi="Times New Roman"/>
          <w:color w:val="000000"/>
          <w:sz w:val="24"/>
        </w:rPr>
        <w:t>The Use Case Diagram defines the functional scope of the platform. Primary actors include the Item Owner, Borrower, and Administrator interacting with use cases within the system boundary: registering accounts, listing household items, browsing the catalog, submitting borrow requests, approving/declining loans, and marking items as returned.</w:t>
      </w:r>
    </w:p>
    <w:p>
      <w:pPr>
        <w:keepNext/>
        <w:spacing w:before="160" w:after="60"/>
        <w:jc w:val="center"/>
      </w:pPr>
      <w:r>
        <w:drawing>
          <wp:inline xmlns:a="http://schemas.openxmlformats.org/drawingml/2006/main" xmlns:pic="http://schemas.openxmlformats.org/drawingml/2006/picture">
            <wp:extent cx="4297680" cy="2464472"/>
            <wp:docPr id="5" name="Picture 5"/>
            <wp:cNvGraphicFramePr>
              <a:graphicFrameLocks noChangeAspect="1"/>
            </wp:cNvGraphicFramePr>
            <a:graphic>
              <a:graphicData uri="http://schemas.openxmlformats.org/drawingml/2006/picture">
                <pic:pic>
                  <pic:nvPicPr>
                    <pic:cNvPr id="0" name="fig5_uml_class_diagram.png"/>
                    <pic:cNvPicPr/>
                  </pic:nvPicPr>
                  <pic:blipFill>
                    <a:blip r:embed="rId14"/>
                    <a:stretch>
                      <a:fillRect/>
                    </a:stretch>
                  </pic:blipFill>
                  <pic:spPr>
                    <a:xfrm>
                      <a:off x="0" y="0"/>
                      <a:ext cx="4297680" cy="2464472"/>
                    </a:xfrm>
                    <a:prstGeom prst="rect"/>
                  </pic:spPr>
                </pic:pic>
              </a:graphicData>
            </a:graphic>
          </wp:inline>
        </w:drawing>
      </w:r>
    </w:p>
    <w:p>
      <w:pPr>
        <w:keepNext/>
        <w:spacing w:before="0" w:after="160"/>
        <w:jc w:val="center"/>
      </w:pPr>
      <w:r>
        <w:rPr>
          <w:rFonts w:ascii="Times New Roman" w:hAnsi="Times New Roman"/>
          <w:b/>
          <w:color w:val="000000"/>
          <w:sz w:val="20"/>
        </w:rPr>
        <w:t>Figure 5: UML Class Diagram</w:t>
      </w:r>
    </w:p>
    <w:p>
      <w:pPr>
        <w:spacing w:line="360" w:lineRule="auto" w:after="80"/>
        <w:jc w:val="both"/>
      </w:pPr>
      <w:r>
        <w:rPr>
          <w:rFonts w:ascii="Times New Roman" w:hAnsi="Times New Roman"/>
          <w:color w:val="000000"/>
          <w:sz w:val="24"/>
        </w:rPr>
        <w:t>The Class Diagram models the core entity classes: `User`, `Item`, and `LendingRequest`. It details attributes, data types, visibility indicators, and member methods, along with structural associations and multiplicities (`1..* Lists`, `1..* Initiates`, `1..* Subject of`).</w:t>
      </w:r>
    </w:p>
    <w:p>
      <w:pPr>
        <w:keepNext/>
        <w:spacing w:before="140" w:after="40" w:line="288" w:lineRule="auto"/>
      </w:pPr>
      <w:r>
        <w:rPr>
          <w:rFonts w:ascii="Times New Roman" w:hAnsi="Times New Roman"/>
          <w:b/>
          <w:color w:val="000000"/>
          <w:sz w:val="26"/>
        </w:rPr>
        <w:t>1.4 Design Rationale and Trade-off Studies</w:t>
      </w:r>
    </w:p>
    <w:p>
      <w:pPr>
        <w:spacing w:line="360" w:lineRule="auto" w:after="80"/>
        <w:jc w:val="both"/>
      </w:pPr>
      <w:r>
        <w:rPr>
          <w:rFonts w:ascii="Times New Roman" w:hAnsi="Times New Roman"/>
          <w:color w:val="000000"/>
          <w:sz w:val="24"/>
        </w:rPr>
        <w:t>Every architectural choice was evaluated through formal engineering trade-off studies:</w:t>
      </w:r>
    </w:p>
    <w:p>
      <w:pPr>
        <w:pStyle w:val="ListBullet"/>
        <w:spacing w:line="360" w:lineRule="auto" w:after="60"/>
        <w:jc w:val="both"/>
      </w:pPr>
      <w:r>
        <w:rPr>
          <w:rFonts w:ascii="Times New Roman" w:hAnsi="Times New Roman"/>
          <w:b/>
          <w:color w:val="000000"/>
          <w:sz w:val="24"/>
        </w:rPr>
        <w:t xml:space="preserve">Modular Monolith vs. Microservices: </w:t>
      </w:r>
      <w:r>
        <w:rPr>
          <w:rFonts w:ascii="Times New Roman" w:hAnsi="Times New Roman"/>
          <w:color w:val="000000"/>
          <w:sz w:val="24"/>
        </w:rPr>
        <w:t>Microservices introduce significant network latency, distributed transaction complexities, and multi-container hosting costs. A modular monolithic web architecture in Flask provides fast execution, ACID database transactions, and simple deployment on cloud hosting.</w:t>
      </w:r>
    </w:p>
    <w:p>
      <w:pPr>
        <w:pStyle w:val="ListBullet"/>
        <w:spacing w:line="360" w:lineRule="auto" w:after="60"/>
        <w:jc w:val="both"/>
      </w:pPr>
      <w:r>
        <w:rPr>
          <w:rFonts w:ascii="Times New Roman" w:hAnsi="Times New Roman"/>
          <w:b/>
          <w:color w:val="000000"/>
          <w:sz w:val="24"/>
        </w:rPr>
        <w:t xml:space="preserve">Server-Side Rendering (SSR) vs. Client-Side SPA: </w:t>
      </w:r>
      <w:r>
        <w:rPr>
          <w:rFonts w:ascii="Times New Roman" w:hAnsi="Times New Roman"/>
          <w:color w:val="000000"/>
          <w:sz w:val="24"/>
        </w:rPr>
        <w:t>A pure client-side SPA requires heavy JavaScript bundles that slow initial page loading on slower network connections. Server-side Jinja2 rendering delivers fast initial page loads (&lt;300ms) with zero client bundle compilation.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Evaluation Metric</w:t>
            </w:r>
          </w:p>
        </w:tc>
        <w:tc>
          <w:tcPr>
            <w:tcW w:type="dxa" w:w="1152"/>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Weight</w:t>
            </w:r>
          </w:p>
        </w:tc>
        <w:tc>
          <w:tcPr>
            <w:tcW w:type="dxa" w:w="2880"/>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Modular Monolith (Selected)</w:t>
            </w:r>
          </w:p>
        </w:tc>
        <w:tc>
          <w:tcPr>
            <w:tcW w:type="dxa" w:w="2736"/>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Microservices Architecture</w:t>
            </w:r>
          </w:p>
        </w:tc>
      </w:tr>
      <w:tr>
        <w:tc>
          <w:tcPr>
            <w:tcW w:type="dxa" w:w="2592"/>
            <w:tcMar>
              <w:top w:w="30" w:type="dxa"/>
              <w:bottom w:w="30" w:type="dxa"/>
              <w:left w:w="50" w:type="dxa"/>
              <w:right w:w="50" w:type="dxa"/>
            </w:tcMar>
          </w:tcPr>
          <w:p>
            <w:pPr>
              <w:spacing w:before="20" w:after="20" w:line="252" w:lineRule="auto"/>
            </w:pPr>
            <w:r>
              <w:rPr>
                <w:rFonts w:ascii="Times New Roman" w:hAnsi="Times New Roman"/>
                <w:color w:val="000000"/>
                <w:sz w:val="17"/>
              </w:rPr>
              <w:t>Development Velocity</w:t>
            </w:r>
          </w:p>
        </w:tc>
        <w:tc>
          <w:tcPr>
            <w:tcW w:type="dxa" w:w="1152"/>
            <w:tcMar>
              <w:top w:w="30" w:type="dxa"/>
              <w:bottom w:w="30" w:type="dxa"/>
              <w:left w:w="50" w:type="dxa"/>
              <w:right w:w="50" w:type="dxa"/>
            </w:tcMar>
          </w:tcPr>
          <w:p>
            <w:pPr>
              <w:spacing w:before="20" w:after="20" w:line="252" w:lineRule="auto"/>
            </w:pPr>
            <w:r>
              <w:rPr>
                <w:rFonts w:ascii="Times New Roman" w:hAnsi="Times New Roman"/>
                <w:color w:val="000000"/>
                <w:sz w:val="17"/>
              </w:rPr>
              <w:t>25%</w:t>
            </w:r>
          </w:p>
        </w:tc>
        <w:tc>
          <w:tcPr>
            <w:tcW w:type="dxa" w:w="2880"/>
            <w:tcMar>
              <w:top w:w="30" w:type="dxa"/>
              <w:bottom w:w="30" w:type="dxa"/>
              <w:left w:w="50" w:type="dxa"/>
              <w:right w:w="50" w:type="dxa"/>
            </w:tcMar>
          </w:tcPr>
          <w:p>
            <w:pPr>
              <w:spacing w:before="20" w:after="20" w:line="252" w:lineRule="auto"/>
            </w:pPr>
            <w:r>
              <w:rPr>
                <w:rFonts w:ascii="Times New Roman" w:hAnsi="Times New Roman"/>
                <w:color w:val="000000"/>
                <w:sz w:val="17"/>
              </w:rPr>
              <w:t>9 / 10 (Rapid sprint cycles)</w:t>
            </w:r>
          </w:p>
        </w:tc>
        <w:tc>
          <w:tcPr>
            <w:tcW w:type="dxa" w:w="2736"/>
            <w:tcMar>
              <w:top w:w="30" w:type="dxa"/>
              <w:bottom w:w="30" w:type="dxa"/>
              <w:left w:w="50" w:type="dxa"/>
              <w:right w:w="50" w:type="dxa"/>
            </w:tcMar>
          </w:tcPr>
          <w:p>
            <w:pPr>
              <w:spacing w:before="20" w:after="20" w:line="252" w:lineRule="auto"/>
            </w:pPr>
            <w:r>
              <w:rPr>
                <w:rFonts w:ascii="Times New Roman" w:hAnsi="Times New Roman"/>
                <w:color w:val="000000"/>
                <w:sz w:val="17"/>
              </w:rPr>
              <w:t>5 / 10 (Heavy setup overhead)</w:t>
            </w:r>
          </w:p>
        </w:tc>
      </w:tr>
      <w:tr>
        <w:tc>
          <w:tcPr>
            <w:tcW w:type="dxa" w:w="259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Operational Simplicity</w:t>
            </w:r>
          </w:p>
        </w:tc>
        <w:tc>
          <w:tcPr>
            <w:tcW w:type="dxa" w:w="115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20%</w:t>
            </w:r>
          </w:p>
        </w:tc>
        <w:tc>
          <w:tcPr>
            <w:tcW w:type="dxa" w:w="288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10 / 10 (Single deployment)</w:t>
            </w:r>
          </w:p>
        </w:tc>
        <w:tc>
          <w:tcPr>
            <w:tcW w:type="dxa" w:w="273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4 / 10 (Multi-container orchestration)</w:t>
            </w:r>
          </w:p>
        </w:tc>
      </w:tr>
      <w:tr>
        <w:tc>
          <w:tcPr>
            <w:tcW w:type="dxa" w:w="2592"/>
            <w:tcMar>
              <w:top w:w="30" w:type="dxa"/>
              <w:bottom w:w="30" w:type="dxa"/>
              <w:left w:w="50" w:type="dxa"/>
              <w:right w:w="50" w:type="dxa"/>
            </w:tcMar>
          </w:tcPr>
          <w:p>
            <w:pPr>
              <w:spacing w:before="20" w:after="20" w:line="252" w:lineRule="auto"/>
            </w:pPr>
            <w:r>
              <w:rPr>
                <w:rFonts w:ascii="Times New Roman" w:hAnsi="Times New Roman"/>
                <w:color w:val="000000"/>
                <w:sz w:val="17"/>
              </w:rPr>
              <w:t>Hosting &amp; Cloud Cost</w:t>
            </w:r>
          </w:p>
        </w:tc>
        <w:tc>
          <w:tcPr>
            <w:tcW w:type="dxa" w:w="1152"/>
            <w:tcMar>
              <w:top w:w="30" w:type="dxa"/>
              <w:bottom w:w="30" w:type="dxa"/>
              <w:left w:w="50" w:type="dxa"/>
              <w:right w:w="50" w:type="dxa"/>
            </w:tcMar>
          </w:tcPr>
          <w:p>
            <w:pPr>
              <w:spacing w:before="20" w:after="20" w:line="252" w:lineRule="auto"/>
            </w:pPr>
            <w:r>
              <w:rPr>
                <w:rFonts w:ascii="Times New Roman" w:hAnsi="Times New Roman"/>
                <w:color w:val="000000"/>
                <w:sz w:val="17"/>
              </w:rPr>
              <w:t>20%</w:t>
            </w:r>
          </w:p>
        </w:tc>
        <w:tc>
          <w:tcPr>
            <w:tcW w:type="dxa" w:w="2880"/>
            <w:tcMar>
              <w:top w:w="30" w:type="dxa"/>
              <w:bottom w:w="30" w:type="dxa"/>
              <w:left w:w="50" w:type="dxa"/>
              <w:right w:w="50" w:type="dxa"/>
            </w:tcMar>
          </w:tcPr>
          <w:p>
            <w:pPr>
              <w:spacing w:before="20" w:after="20" w:line="252" w:lineRule="auto"/>
            </w:pPr>
            <w:r>
              <w:rPr>
                <w:rFonts w:ascii="Times New Roman" w:hAnsi="Times New Roman"/>
                <w:color w:val="000000"/>
                <w:sz w:val="17"/>
              </w:rPr>
              <w:t>10 / 10 (Free tier compatible)</w:t>
            </w:r>
          </w:p>
        </w:tc>
        <w:tc>
          <w:tcPr>
            <w:tcW w:type="dxa" w:w="2736"/>
            <w:tcMar>
              <w:top w:w="30" w:type="dxa"/>
              <w:bottom w:w="30" w:type="dxa"/>
              <w:left w:w="50" w:type="dxa"/>
              <w:right w:w="50" w:type="dxa"/>
            </w:tcMar>
          </w:tcPr>
          <w:p>
            <w:pPr>
              <w:spacing w:before="20" w:after="20" w:line="252" w:lineRule="auto"/>
            </w:pPr>
            <w:r>
              <w:rPr>
                <w:rFonts w:ascii="Times New Roman" w:hAnsi="Times New Roman"/>
                <w:color w:val="000000"/>
                <w:sz w:val="17"/>
              </w:rPr>
              <w:t>4 / 10 (Multiple VMs needed)</w:t>
            </w:r>
          </w:p>
        </w:tc>
      </w:tr>
      <w:tr>
        <w:tc>
          <w:tcPr>
            <w:tcW w:type="dxa" w:w="259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Transactional Consistency</w:t>
            </w:r>
          </w:p>
        </w:tc>
        <w:tc>
          <w:tcPr>
            <w:tcW w:type="dxa" w:w="115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20%</w:t>
            </w:r>
          </w:p>
        </w:tc>
        <w:tc>
          <w:tcPr>
            <w:tcW w:type="dxa" w:w="288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10 / 10 (ACID DB transactions)</w:t>
            </w:r>
          </w:p>
        </w:tc>
        <w:tc>
          <w:tcPr>
            <w:tcW w:type="dxa" w:w="273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6 / 10 (Eventual consistency)</w:t>
            </w:r>
          </w:p>
        </w:tc>
      </w:tr>
      <w:tr>
        <w:tc>
          <w:tcPr>
            <w:tcW w:type="dxa" w:w="2592"/>
            <w:tcMar>
              <w:top w:w="30" w:type="dxa"/>
              <w:bottom w:w="30" w:type="dxa"/>
              <w:left w:w="50" w:type="dxa"/>
              <w:right w:w="50" w:type="dxa"/>
            </w:tcMar>
          </w:tcPr>
          <w:p>
            <w:pPr>
              <w:spacing w:before="20" w:after="20" w:line="252" w:lineRule="auto"/>
            </w:pPr>
            <w:r>
              <w:rPr>
                <w:rFonts w:ascii="Times New Roman" w:hAnsi="Times New Roman"/>
                <w:color w:val="000000"/>
                <w:sz w:val="17"/>
              </w:rPr>
              <w:t>Scalability Ceiling</w:t>
            </w:r>
          </w:p>
        </w:tc>
        <w:tc>
          <w:tcPr>
            <w:tcW w:type="dxa" w:w="1152"/>
            <w:tcMar>
              <w:top w:w="30" w:type="dxa"/>
              <w:bottom w:w="30" w:type="dxa"/>
              <w:left w:w="50" w:type="dxa"/>
              <w:right w:w="50" w:type="dxa"/>
            </w:tcMar>
          </w:tcPr>
          <w:p>
            <w:pPr>
              <w:spacing w:before="20" w:after="20" w:line="252" w:lineRule="auto"/>
            </w:pPr>
            <w:r>
              <w:rPr>
                <w:rFonts w:ascii="Times New Roman" w:hAnsi="Times New Roman"/>
                <w:color w:val="000000"/>
                <w:sz w:val="17"/>
              </w:rPr>
              <w:t>15%</w:t>
            </w:r>
          </w:p>
        </w:tc>
        <w:tc>
          <w:tcPr>
            <w:tcW w:type="dxa" w:w="2880"/>
            <w:tcMar>
              <w:top w:w="30" w:type="dxa"/>
              <w:bottom w:w="30" w:type="dxa"/>
              <w:left w:w="50" w:type="dxa"/>
              <w:right w:w="50" w:type="dxa"/>
            </w:tcMar>
          </w:tcPr>
          <w:p>
            <w:pPr>
              <w:spacing w:before="20" w:after="20" w:line="252" w:lineRule="auto"/>
            </w:pPr>
            <w:r>
              <w:rPr>
                <w:rFonts w:ascii="Times New Roman" w:hAnsi="Times New Roman"/>
                <w:color w:val="000000"/>
                <w:sz w:val="17"/>
              </w:rPr>
              <w:t>8 / 10 (Sufficient for communities)</w:t>
            </w:r>
          </w:p>
        </w:tc>
        <w:tc>
          <w:tcPr>
            <w:tcW w:type="dxa" w:w="2736"/>
            <w:tcMar>
              <w:top w:w="30" w:type="dxa"/>
              <w:bottom w:w="30" w:type="dxa"/>
              <w:left w:w="50" w:type="dxa"/>
              <w:right w:w="50" w:type="dxa"/>
            </w:tcMar>
          </w:tcPr>
          <w:p>
            <w:pPr>
              <w:spacing w:before="20" w:after="20" w:line="252" w:lineRule="auto"/>
            </w:pPr>
            <w:r>
              <w:rPr>
                <w:rFonts w:ascii="Times New Roman" w:hAnsi="Times New Roman"/>
                <w:color w:val="000000"/>
                <w:sz w:val="17"/>
              </w:rPr>
              <w:t>10 / 10 (Hyperscale enterprise)</w:t>
            </w:r>
          </w:p>
        </w:tc>
      </w:tr>
      <w:tr>
        <w:tc>
          <w:tcPr>
            <w:tcW w:type="dxa" w:w="259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Weighted Final Score</w:t>
            </w:r>
          </w:p>
        </w:tc>
        <w:tc>
          <w:tcPr>
            <w:tcW w:type="dxa" w:w="115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100%</w:t>
            </w:r>
          </w:p>
        </w:tc>
        <w:tc>
          <w:tcPr>
            <w:tcW w:type="dxa" w:w="288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9.4 / 10.0 (WINNER)</w:t>
            </w:r>
          </w:p>
        </w:tc>
        <w:tc>
          <w:tcPr>
            <w:tcW w:type="dxa" w:w="273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5.5 / 10.0</w:t>
            </w:r>
          </w:p>
        </w:tc>
      </w:tr>
    </w:tbl>
    <w:p>
      <w:pPr>
        <w:keepNext/>
        <w:spacing w:before="200" w:after="60" w:line="288" w:lineRule="auto"/>
      </w:pPr>
      <w:r>
        <w:rPr>
          <w:rFonts w:ascii="Times New Roman" w:hAnsi="Times New Roman"/>
          <w:b/>
          <w:color w:val="000000"/>
          <w:sz w:val="28"/>
        </w:rPr>
        <w:t>2. Database Design Specification</w:t>
      </w:r>
    </w:p>
    <w:p>
      <w:pPr>
        <w:spacing w:line="360" w:lineRule="auto" w:after="80"/>
        <w:jc w:val="both"/>
      </w:pPr>
      <w:r>
        <w:rPr>
          <w:rFonts w:ascii="Times New Roman" w:hAnsi="Times New Roman"/>
          <w:color w:val="000000"/>
          <w:sz w:val="24"/>
        </w:rPr>
        <w:t>The database design defines the persistent data structures, table schemas, normalization integrity, and relationship constraints required to support concurrent lending transactions.</w:t>
      </w:r>
    </w:p>
    <w:p>
      <w:pPr>
        <w:keepNext/>
        <w:spacing w:before="140" w:after="40" w:line="288" w:lineRule="auto"/>
      </w:pPr>
      <w:r>
        <w:rPr>
          <w:rFonts w:ascii="Times New Roman" w:hAnsi="Times New Roman"/>
          <w:b/>
          <w:color w:val="000000"/>
          <w:sz w:val="26"/>
        </w:rPr>
        <w:t>2.1 Database Management System Selection</w:t>
      </w:r>
    </w:p>
    <w:p>
      <w:pPr>
        <w:spacing w:line="360" w:lineRule="auto" w:after="80"/>
        <w:jc w:val="both"/>
      </w:pPr>
      <w:r>
        <w:rPr>
          <w:rFonts w:ascii="Times New Roman" w:hAnsi="Times New Roman"/>
          <w:color w:val="000000"/>
          <w:sz w:val="24"/>
        </w:rPr>
        <w:t>The platform employs a relational database architecture powered by MySQL 8.0 and hosted on TiDB Serverless Cloud. A relational DBMS was selected over NoSQL (MongoDB) because community resource sharing strictly demands ACID transaction guarantees and foreign key constraints to prevent orphaned loans.</w:t>
      </w:r>
    </w:p>
    <w:p>
      <w:pPr>
        <w:keepNext/>
        <w:spacing w:before="160" w:after="60"/>
        <w:jc w:val="center"/>
      </w:pPr>
      <w:r>
        <w:drawing>
          <wp:inline xmlns:a="http://schemas.openxmlformats.org/drawingml/2006/main" xmlns:pic="http://schemas.openxmlformats.org/drawingml/2006/picture">
            <wp:extent cx="4297680" cy="2464472"/>
            <wp:docPr id="6" name="Picture 6"/>
            <wp:cNvGraphicFramePr>
              <a:graphicFrameLocks noChangeAspect="1"/>
            </wp:cNvGraphicFramePr>
            <a:graphic>
              <a:graphicData uri="http://schemas.openxmlformats.org/drawingml/2006/picture">
                <pic:pic>
                  <pic:nvPicPr>
                    <pic:cNvPr id="0" name="fig6_database_erd.png"/>
                    <pic:cNvPicPr/>
                  </pic:nvPicPr>
                  <pic:blipFill>
                    <a:blip r:embed="rId15"/>
                    <a:stretch>
                      <a:fillRect/>
                    </a:stretch>
                  </pic:blipFill>
                  <pic:spPr>
                    <a:xfrm>
                      <a:off x="0" y="0"/>
                      <a:ext cx="4297680" cy="2464472"/>
                    </a:xfrm>
                    <a:prstGeom prst="rect"/>
                  </pic:spPr>
                </pic:pic>
              </a:graphicData>
            </a:graphic>
          </wp:inline>
        </w:drawing>
      </w:r>
    </w:p>
    <w:p>
      <w:pPr>
        <w:keepNext/>
        <w:spacing w:before="0" w:after="160"/>
        <w:jc w:val="center"/>
      </w:pPr>
      <w:r>
        <w:rPr>
          <w:rFonts w:ascii="Times New Roman" w:hAnsi="Times New Roman"/>
          <w:b/>
          <w:color w:val="000000"/>
          <w:sz w:val="20"/>
        </w:rPr>
        <w:t>Figure 6: MySQL Relational Database ER Diagram</w:t>
      </w:r>
    </w:p>
    <w:p>
      <w:pPr>
        <w:spacing w:line="360" w:lineRule="auto" w:after="80"/>
        <w:jc w:val="both"/>
      </w:pPr>
      <w:r>
        <w:rPr>
          <w:rFonts w:ascii="Times New Roman" w:hAnsi="Times New Roman"/>
          <w:color w:val="000000"/>
          <w:sz w:val="24"/>
        </w:rPr>
        <w:t>The Entity-Relationship Diagram (ERD) illustrates the relational structure among the three core database entities (`USERS`, `ITEMS`, and `LENDING_REQUESTS`). Primary keys (`PK`), foreign keys (`FK`), and 1:N cardinalities ensure structural consistency across users, listings, and transactions.</w:t>
      </w:r>
    </w:p>
    <w:p>
      <w:pPr>
        <w:keepNext/>
        <w:spacing w:before="140" w:after="40" w:line="288" w:lineRule="auto"/>
      </w:pPr>
      <w:r>
        <w:rPr>
          <w:rFonts w:ascii="Times New Roman" w:hAnsi="Times New Roman"/>
          <w:b/>
          <w:color w:val="000000"/>
          <w:sz w:val="26"/>
        </w:rPr>
        <w:t>2.2 Schema Normalization (1NF, 2NF, 3NF)</w:t>
      </w:r>
    </w:p>
    <w:p>
      <w:pPr>
        <w:pStyle w:val="ListBullet"/>
        <w:spacing w:line="360" w:lineRule="auto" w:after="60"/>
        <w:jc w:val="both"/>
      </w:pPr>
      <w:r>
        <w:rPr>
          <w:rFonts w:ascii="Times New Roman" w:hAnsi="Times New Roman"/>
          <w:b/>
          <w:color w:val="000000"/>
          <w:sz w:val="24"/>
        </w:rPr>
        <w:t xml:space="preserve">First Normal Form (1NF): </w:t>
      </w:r>
      <w:r>
        <w:rPr>
          <w:rFonts w:ascii="Times New Roman" w:hAnsi="Times New Roman"/>
          <w:color w:val="000000"/>
          <w:sz w:val="24"/>
        </w:rPr>
        <w:t>All table columns contain atomic, indivisible values. Repeating groups are eliminated, and every row is uniquely identified by an auto-incrementing primary key (`id`).</w:t>
      </w:r>
    </w:p>
    <w:p>
      <w:pPr>
        <w:pStyle w:val="ListBullet"/>
        <w:spacing w:line="360" w:lineRule="auto" w:after="60"/>
        <w:jc w:val="both"/>
      </w:pPr>
      <w:r>
        <w:rPr>
          <w:rFonts w:ascii="Times New Roman" w:hAnsi="Times New Roman"/>
          <w:b/>
          <w:color w:val="000000"/>
          <w:sz w:val="24"/>
        </w:rPr>
        <w:t xml:space="preserve">Second Normal Form (2NF): </w:t>
      </w:r>
      <w:r>
        <w:rPr>
          <w:rFonts w:ascii="Times New Roman" w:hAnsi="Times New Roman"/>
          <w:color w:val="000000"/>
          <w:sz w:val="24"/>
        </w:rPr>
        <w:t>The schema satisfies 1NF, and all non-key columns depend fully on the complete primary key. Surrogate single-column keys eliminate partial dependencies.</w:t>
      </w:r>
    </w:p>
    <w:p>
      <w:pPr>
        <w:pStyle w:val="ListBullet"/>
        <w:spacing w:line="360" w:lineRule="auto" w:after="60"/>
        <w:jc w:val="both"/>
      </w:pPr>
      <w:r>
        <w:rPr>
          <w:rFonts w:ascii="Times New Roman" w:hAnsi="Times New Roman"/>
          <w:b/>
          <w:color w:val="000000"/>
          <w:sz w:val="24"/>
        </w:rPr>
        <w:t xml:space="preserve">Third Normal Form (3NF): </w:t>
      </w:r>
      <w:r>
        <w:rPr>
          <w:rFonts w:ascii="Times New Roman" w:hAnsi="Times New Roman"/>
          <w:color w:val="000000"/>
          <w:sz w:val="24"/>
        </w:rPr>
        <w:t>The schema satisfies 2NF and eliminates transitive dependencies. Non-key columns depend solely on the primary key, preventing duplicate owner data inside item listings.</w:t>
      </w:r>
    </w:p>
    <w:p>
      <w:pPr>
        <w:keepNext/>
        <w:spacing w:before="140" w:after="40" w:line="288" w:lineRule="auto"/>
      </w:pPr>
      <w:r>
        <w:rPr>
          <w:rFonts w:ascii="Times New Roman" w:hAnsi="Times New Roman"/>
          <w:b/>
          <w:color w:val="000000"/>
          <w:sz w:val="26"/>
        </w:rPr>
        <w:t>2.3 Physical Data Dictionaries</w:t>
      </w:r>
    </w:p>
    <w:p>
      <w:pPr>
        <w:spacing w:line="360" w:lineRule="auto" w:after="80"/>
        <w:jc w:val="both"/>
      </w:pPr>
      <w:r>
        <w:rPr>
          <w:rFonts w:ascii="Times New Roman" w:hAnsi="Times New Roman"/>
          <w:color w:val="000000"/>
          <w:sz w:val="24"/>
        </w:rPr>
        <w:t>The physical schema specifications define column data types, constraints, and operational descriptions across all database tables:</w:t>
      </w:r>
    </w:p>
    <w:p>
      <w:pPr>
        <w:spacing w:line="360" w:lineRule="auto" w:after="80"/>
        <w:jc w:val="both"/>
      </w:pPr>
      <w:r>
        <w:rPr>
          <w:rFonts w:ascii="Times New Roman" w:hAnsi="Times New Roman"/>
          <w:b/>
          <w:color w:val="000000"/>
          <w:sz w:val="24"/>
        </w:rPr>
        <w:t xml:space="preserve">Users Table: </w:t>
      </w:r>
      <w:r>
        <w:rPr>
          <w:rFonts w:ascii="Times New Roman" w:hAnsi="Times New Roman"/>
          <w:color w:val="000000"/>
          <w:sz w:val="24"/>
        </w:rPr>
        <w:t>Table 1: Data Dictionary for `users` Table</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584"/>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Column Name</w:t>
            </w:r>
          </w:p>
        </w:tc>
        <w:tc>
          <w:tcPr>
            <w:tcW w:type="dxa" w:w="1584"/>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Data Type</w:t>
            </w:r>
          </w:p>
        </w:tc>
        <w:tc>
          <w:tcPr>
            <w:tcW w:type="dxa" w:w="2160"/>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Constraints</w:t>
            </w:r>
          </w:p>
        </w:tc>
        <w:tc>
          <w:tcPr>
            <w:tcW w:type="dxa" w:w="1152"/>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Default</w:t>
            </w:r>
          </w:p>
        </w:tc>
        <w:tc>
          <w:tcPr>
            <w:tcW w:type="dxa" w:w="2880"/>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Description</w:t>
            </w:r>
          </w:p>
        </w:tc>
      </w:tr>
      <w:tr>
        <w:tc>
          <w:tcPr>
            <w:tcW w:type="dxa" w:w="1584"/>
            <w:tcMar>
              <w:top w:w="30" w:type="dxa"/>
              <w:bottom w:w="30" w:type="dxa"/>
              <w:left w:w="50" w:type="dxa"/>
              <w:right w:w="50" w:type="dxa"/>
            </w:tcMar>
          </w:tcPr>
          <w:p>
            <w:pPr>
              <w:spacing w:before="20" w:after="20" w:line="252" w:lineRule="auto"/>
            </w:pPr>
            <w:r>
              <w:rPr>
                <w:rFonts w:ascii="Times New Roman" w:hAnsi="Times New Roman"/>
                <w:color w:val="000000"/>
                <w:sz w:val="17"/>
              </w:rPr>
              <w:t>id</w:t>
            </w:r>
          </w:p>
        </w:tc>
        <w:tc>
          <w:tcPr>
            <w:tcW w:type="dxa" w:w="1584"/>
            <w:tcMar>
              <w:top w:w="30" w:type="dxa"/>
              <w:bottom w:w="30" w:type="dxa"/>
              <w:left w:w="50" w:type="dxa"/>
              <w:right w:w="50" w:type="dxa"/>
            </w:tcMar>
          </w:tcPr>
          <w:p>
            <w:pPr>
              <w:spacing w:before="20" w:after="20" w:line="252" w:lineRule="auto"/>
            </w:pPr>
            <w:r>
              <w:rPr>
                <w:rFonts w:ascii="Times New Roman" w:hAnsi="Times New Roman"/>
                <w:color w:val="000000"/>
                <w:sz w:val="17"/>
              </w:rPr>
              <w:t>INT</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PK, AUTO_INCREMENT</w:t>
            </w:r>
          </w:p>
        </w:tc>
        <w:tc>
          <w:tcPr>
            <w:tcW w:type="dxa" w:w="1152"/>
            <w:tcMar>
              <w:top w:w="30" w:type="dxa"/>
              <w:bottom w:w="30" w:type="dxa"/>
              <w:left w:w="50" w:type="dxa"/>
              <w:right w:w="50" w:type="dxa"/>
            </w:tcMar>
          </w:tcPr>
          <w:p>
            <w:pPr>
              <w:spacing w:before="20" w:after="20" w:line="252" w:lineRule="auto"/>
            </w:pPr>
            <w:r>
              <w:rPr>
                <w:rFonts w:ascii="Times New Roman" w:hAnsi="Times New Roman"/>
                <w:color w:val="000000"/>
                <w:sz w:val="17"/>
              </w:rPr>
              <w:t>None</w:t>
            </w:r>
          </w:p>
        </w:tc>
        <w:tc>
          <w:tcPr>
            <w:tcW w:type="dxa" w:w="2880"/>
            <w:tcMar>
              <w:top w:w="30" w:type="dxa"/>
              <w:bottom w:w="30" w:type="dxa"/>
              <w:left w:w="50" w:type="dxa"/>
              <w:right w:w="50" w:type="dxa"/>
            </w:tcMar>
          </w:tcPr>
          <w:p>
            <w:pPr>
              <w:spacing w:before="20" w:after="20" w:line="252" w:lineRule="auto"/>
            </w:pPr>
            <w:r>
              <w:rPr>
                <w:rFonts w:ascii="Times New Roman" w:hAnsi="Times New Roman"/>
                <w:color w:val="000000"/>
                <w:sz w:val="17"/>
              </w:rPr>
              <w:t>Unique member ID</w:t>
            </w:r>
          </w:p>
        </w:tc>
      </w:tr>
      <w:tr>
        <w:tc>
          <w:tcPr>
            <w:tcW w:type="dxa" w:w="158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name</w:t>
            </w:r>
          </w:p>
        </w:tc>
        <w:tc>
          <w:tcPr>
            <w:tcW w:type="dxa" w:w="158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VARCHAR(100)</w:t>
            </w:r>
          </w:p>
        </w:tc>
        <w:tc>
          <w:tcPr>
            <w:tcW w:type="dxa" w:w="216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NOT NULL</w:t>
            </w:r>
          </w:p>
        </w:tc>
        <w:tc>
          <w:tcPr>
            <w:tcW w:type="dxa" w:w="115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None</w:t>
            </w:r>
          </w:p>
        </w:tc>
        <w:tc>
          <w:tcPr>
            <w:tcW w:type="dxa" w:w="288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Full name of the user</w:t>
            </w:r>
          </w:p>
        </w:tc>
      </w:tr>
      <w:tr>
        <w:tc>
          <w:tcPr>
            <w:tcW w:type="dxa" w:w="1584"/>
            <w:tcMar>
              <w:top w:w="30" w:type="dxa"/>
              <w:bottom w:w="30" w:type="dxa"/>
              <w:left w:w="50" w:type="dxa"/>
              <w:right w:w="50" w:type="dxa"/>
            </w:tcMar>
          </w:tcPr>
          <w:p>
            <w:pPr>
              <w:spacing w:before="20" w:after="20" w:line="252" w:lineRule="auto"/>
            </w:pPr>
            <w:r>
              <w:rPr>
                <w:rFonts w:ascii="Times New Roman" w:hAnsi="Times New Roman"/>
                <w:color w:val="000000"/>
                <w:sz w:val="17"/>
              </w:rPr>
              <w:t>email</w:t>
            </w:r>
          </w:p>
        </w:tc>
        <w:tc>
          <w:tcPr>
            <w:tcW w:type="dxa" w:w="1584"/>
            <w:tcMar>
              <w:top w:w="30" w:type="dxa"/>
              <w:bottom w:w="30" w:type="dxa"/>
              <w:left w:w="50" w:type="dxa"/>
              <w:right w:w="50" w:type="dxa"/>
            </w:tcMar>
          </w:tcPr>
          <w:p>
            <w:pPr>
              <w:spacing w:before="20" w:after="20" w:line="252" w:lineRule="auto"/>
            </w:pPr>
            <w:r>
              <w:rPr>
                <w:rFonts w:ascii="Times New Roman" w:hAnsi="Times New Roman"/>
                <w:color w:val="000000"/>
                <w:sz w:val="17"/>
              </w:rPr>
              <w:t>VARCHAR(120)</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NOT NULL, UNIQUE</w:t>
            </w:r>
          </w:p>
        </w:tc>
        <w:tc>
          <w:tcPr>
            <w:tcW w:type="dxa" w:w="1152"/>
            <w:tcMar>
              <w:top w:w="30" w:type="dxa"/>
              <w:bottom w:w="30" w:type="dxa"/>
              <w:left w:w="50" w:type="dxa"/>
              <w:right w:w="50" w:type="dxa"/>
            </w:tcMar>
          </w:tcPr>
          <w:p>
            <w:pPr>
              <w:spacing w:before="20" w:after="20" w:line="252" w:lineRule="auto"/>
            </w:pPr>
            <w:r>
              <w:rPr>
                <w:rFonts w:ascii="Times New Roman" w:hAnsi="Times New Roman"/>
                <w:color w:val="000000"/>
                <w:sz w:val="17"/>
              </w:rPr>
              <w:t>None</w:t>
            </w:r>
          </w:p>
        </w:tc>
        <w:tc>
          <w:tcPr>
            <w:tcW w:type="dxa" w:w="2880"/>
            <w:tcMar>
              <w:top w:w="30" w:type="dxa"/>
              <w:bottom w:w="30" w:type="dxa"/>
              <w:left w:w="50" w:type="dxa"/>
              <w:right w:w="50" w:type="dxa"/>
            </w:tcMar>
          </w:tcPr>
          <w:p>
            <w:pPr>
              <w:spacing w:before="20" w:after="20" w:line="252" w:lineRule="auto"/>
            </w:pPr>
            <w:r>
              <w:rPr>
                <w:rFonts w:ascii="Times New Roman" w:hAnsi="Times New Roman"/>
                <w:color w:val="000000"/>
                <w:sz w:val="17"/>
              </w:rPr>
              <w:t>Login email address</w:t>
            </w:r>
          </w:p>
        </w:tc>
      </w:tr>
      <w:tr>
        <w:tc>
          <w:tcPr>
            <w:tcW w:type="dxa" w:w="158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password_hash</w:t>
            </w:r>
          </w:p>
        </w:tc>
        <w:tc>
          <w:tcPr>
            <w:tcW w:type="dxa" w:w="158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VARCHAR(255)</w:t>
            </w:r>
          </w:p>
        </w:tc>
        <w:tc>
          <w:tcPr>
            <w:tcW w:type="dxa" w:w="216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NOT NULL</w:t>
            </w:r>
          </w:p>
        </w:tc>
        <w:tc>
          <w:tcPr>
            <w:tcW w:type="dxa" w:w="115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None</w:t>
            </w:r>
          </w:p>
        </w:tc>
        <w:tc>
          <w:tcPr>
            <w:tcW w:type="dxa" w:w="288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Salted PBKDF2:SHA256 hash</w:t>
            </w:r>
          </w:p>
        </w:tc>
      </w:tr>
      <w:tr>
        <w:tc>
          <w:tcPr>
            <w:tcW w:type="dxa" w:w="1584"/>
            <w:tcMar>
              <w:top w:w="30" w:type="dxa"/>
              <w:bottom w:w="30" w:type="dxa"/>
              <w:left w:w="50" w:type="dxa"/>
              <w:right w:w="50" w:type="dxa"/>
            </w:tcMar>
          </w:tcPr>
          <w:p>
            <w:pPr>
              <w:spacing w:before="20" w:after="20" w:line="252" w:lineRule="auto"/>
            </w:pPr>
            <w:r>
              <w:rPr>
                <w:rFonts w:ascii="Times New Roman" w:hAnsi="Times New Roman"/>
                <w:color w:val="000000"/>
                <w:sz w:val="17"/>
              </w:rPr>
              <w:t>phone</w:t>
            </w:r>
          </w:p>
        </w:tc>
        <w:tc>
          <w:tcPr>
            <w:tcW w:type="dxa" w:w="1584"/>
            <w:tcMar>
              <w:top w:w="30" w:type="dxa"/>
              <w:bottom w:w="30" w:type="dxa"/>
              <w:left w:w="50" w:type="dxa"/>
              <w:right w:w="50" w:type="dxa"/>
            </w:tcMar>
          </w:tcPr>
          <w:p>
            <w:pPr>
              <w:spacing w:before="20" w:after="20" w:line="252" w:lineRule="auto"/>
            </w:pPr>
            <w:r>
              <w:rPr>
                <w:rFonts w:ascii="Times New Roman" w:hAnsi="Times New Roman"/>
                <w:color w:val="000000"/>
                <w:sz w:val="17"/>
              </w:rPr>
              <w:t>VARCHAR(20)</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NULLABLE</w:t>
            </w:r>
          </w:p>
        </w:tc>
        <w:tc>
          <w:tcPr>
            <w:tcW w:type="dxa" w:w="1152"/>
            <w:tcMar>
              <w:top w:w="30" w:type="dxa"/>
              <w:bottom w:w="30" w:type="dxa"/>
              <w:left w:w="50" w:type="dxa"/>
              <w:right w:w="50" w:type="dxa"/>
            </w:tcMar>
          </w:tcPr>
          <w:p>
            <w:pPr>
              <w:spacing w:before="20" w:after="20" w:line="252" w:lineRule="auto"/>
            </w:pPr>
            <w:r>
              <w:rPr>
                <w:rFonts w:ascii="Times New Roman" w:hAnsi="Times New Roman"/>
                <w:color w:val="000000"/>
                <w:sz w:val="17"/>
              </w:rPr>
              <w:t>NULL</w:t>
            </w:r>
          </w:p>
        </w:tc>
        <w:tc>
          <w:tcPr>
            <w:tcW w:type="dxa" w:w="2880"/>
            <w:tcMar>
              <w:top w:w="30" w:type="dxa"/>
              <w:bottom w:w="30" w:type="dxa"/>
              <w:left w:w="50" w:type="dxa"/>
              <w:right w:w="50" w:type="dxa"/>
            </w:tcMar>
          </w:tcPr>
          <w:p>
            <w:pPr>
              <w:spacing w:before="20" w:after="20" w:line="252" w:lineRule="auto"/>
            </w:pPr>
            <w:r>
              <w:rPr>
                <w:rFonts w:ascii="Times New Roman" w:hAnsi="Times New Roman"/>
                <w:color w:val="000000"/>
                <w:sz w:val="17"/>
              </w:rPr>
              <w:t>Contact phone number</w:t>
            </w:r>
          </w:p>
        </w:tc>
      </w:tr>
      <w:tr>
        <w:tc>
          <w:tcPr>
            <w:tcW w:type="dxa" w:w="158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address</w:t>
            </w:r>
          </w:p>
        </w:tc>
        <w:tc>
          <w:tcPr>
            <w:tcW w:type="dxa" w:w="158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TEXT</w:t>
            </w:r>
          </w:p>
        </w:tc>
        <w:tc>
          <w:tcPr>
            <w:tcW w:type="dxa" w:w="216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NULLABLE</w:t>
            </w:r>
          </w:p>
        </w:tc>
        <w:tc>
          <w:tcPr>
            <w:tcW w:type="dxa" w:w="115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NULL</w:t>
            </w:r>
          </w:p>
        </w:tc>
        <w:tc>
          <w:tcPr>
            <w:tcW w:type="dxa" w:w="288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Community residential address</w:t>
            </w:r>
          </w:p>
        </w:tc>
      </w:tr>
      <w:tr>
        <w:tc>
          <w:tcPr>
            <w:tcW w:type="dxa" w:w="1584"/>
            <w:tcMar>
              <w:top w:w="30" w:type="dxa"/>
              <w:bottom w:w="30" w:type="dxa"/>
              <w:left w:w="50" w:type="dxa"/>
              <w:right w:w="50" w:type="dxa"/>
            </w:tcMar>
          </w:tcPr>
          <w:p>
            <w:pPr>
              <w:spacing w:before="20" w:after="20" w:line="252" w:lineRule="auto"/>
            </w:pPr>
            <w:r>
              <w:rPr>
                <w:rFonts w:ascii="Times New Roman" w:hAnsi="Times New Roman"/>
                <w:color w:val="000000"/>
                <w:sz w:val="17"/>
              </w:rPr>
              <w:t>created_at</w:t>
            </w:r>
          </w:p>
        </w:tc>
        <w:tc>
          <w:tcPr>
            <w:tcW w:type="dxa" w:w="1584"/>
            <w:tcMar>
              <w:top w:w="30" w:type="dxa"/>
              <w:bottom w:w="30" w:type="dxa"/>
              <w:left w:w="50" w:type="dxa"/>
              <w:right w:w="50" w:type="dxa"/>
            </w:tcMar>
          </w:tcPr>
          <w:p>
            <w:pPr>
              <w:spacing w:before="20" w:after="20" w:line="252" w:lineRule="auto"/>
            </w:pPr>
            <w:r>
              <w:rPr>
                <w:rFonts w:ascii="Times New Roman" w:hAnsi="Times New Roman"/>
                <w:color w:val="000000"/>
                <w:sz w:val="17"/>
              </w:rPr>
              <w:t>TIMESTAMP</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NOT NULL</w:t>
            </w:r>
          </w:p>
        </w:tc>
        <w:tc>
          <w:tcPr>
            <w:tcW w:type="dxa" w:w="1152"/>
            <w:tcMar>
              <w:top w:w="30" w:type="dxa"/>
              <w:bottom w:w="30" w:type="dxa"/>
              <w:left w:w="50" w:type="dxa"/>
              <w:right w:w="50" w:type="dxa"/>
            </w:tcMar>
          </w:tcPr>
          <w:p>
            <w:pPr>
              <w:spacing w:before="20" w:after="20" w:line="252" w:lineRule="auto"/>
            </w:pPr>
            <w:r>
              <w:rPr>
                <w:rFonts w:ascii="Times New Roman" w:hAnsi="Times New Roman"/>
                <w:color w:val="000000"/>
                <w:sz w:val="17"/>
              </w:rPr>
              <w:t>CURRENT_TIMESTAMP</w:t>
            </w:r>
          </w:p>
        </w:tc>
        <w:tc>
          <w:tcPr>
            <w:tcW w:type="dxa" w:w="2880"/>
            <w:tcMar>
              <w:top w:w="30" w:type="dxa"/>
              <w:bottom w:w="30" w:type="dxa"/>
              <w:left w:w="50" w:type="dxa"/>
              <w:right w:w="50" w:type="dxa"/>
            </w:tcMar>
          </w:tcPr>
          <w:p>
            <w:pPr>
              <w:spacing w:before="20" w:after="20" w:line="252" w:lineRule="auto"/>
            </w:pPr>
            <w:r>
              <w:rPr>
                <w:rFonts w:ascii="Times New Roman" w:hAnsi="Times New Roman"/>
                <w:color w:val="000000"/>
                <w:sz w:val="17"/>
              </w:rPr>
              <w:t>Account creation timestamp</w:t>
            </w:r>
          </w:p>
        </w:tc>
      </w:tr>
    </w:tbl>
    <w:p>
      <w:pPr>
        <w:spacing w:line="360" w:lineRule="auto" w:after="80"/>
        <w:jc w:val="both"/>
      </w:pPr>
      <w:r>
        <w:rPr>
          <w:rFonts w:ascii="Times New Roman" w:hAnsi="Times New Roman"/>
          <w:b/>
          <w:color w:val="000000"/>
          <w:sz w:val="24"/>
        </w:rPr>
        <w:t xml:space="preserve">Items Table: </w:t>
      </w:r>
      <w:r>
        <w:rPr>
          <w:rFonts w:ascii="Times New Roman" w:hAnsi="Times New Roman"/>
          <w:color w:val="000000"/>
          <w:sz w:val="24"/>
        </w:rPr>
        <w:t>Table 2: Data Dictionary for `items` Table</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584"/>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Column Name</w:t>
            </w:r>
          </w:p>
        </w:tc>
        <w:tc>
          <w:tcPr>
            <w:tcW w:type="dxa" w:w="1584"/>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Data Type</w:t>
            </w:r>
          </w:p>
        </w:tc>
        <w:tc>
          <w:tcPr>
            <w:tcW w:type="dxa" w:w="2160"/>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Constraints</w:t>
            </w:r>
          </w:p>
        </w:tc>
        <w:tc>
          <w:tcPr>
            <w:tcW w:type="dxa" w:w="1152"/>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Default</w:t>
            </w:r>
          </w:p>
        </w:tc>
        <w:tc>
          <w:tcPr>
            <w:tcW w:type="dxa" w:w="2880"/>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Description</w:t>
            </w:r>
          </w:p>
        </w:tc>
      </w:tr>
      <w:tr>
        <w:tc>
          <w:tcPr>
            <w:tcW w:type="dxa" w:w="1584"/>
            <w:tcMar>
              <w:top w:w="30" w:type="dxa"/>
              <w:bottom w:w="30" w:type="dxa"/>
              <w:left w:w="50" w:type="dxa"/>
              <w:right w:w="50" w:type="dxa"/>
            </w:tcMar>
          </w:tcPr>
          <w:p>
            <w:pPr>
              <w:spacing w:before="20" w:after="20" w:line="252" w:lineRule="auto"/>
            </w:pPr>
            <w:r>
              <w:rPr>
                <w:rFonts w:ascii="Times New Roman" w:hAnsi="Times New Roman"/>
                <w:color w:val="000000"/>
                <w:sz w:val="17"/>
              </w:rPr>
              <w:t>id</w:t>
            </w:r>
          </w:p>
        </w:tc>
        <w:tc>
          <w:tcPr>
            <w:tcW w:type="dxa" w:w="1584"/>
            <w:tcMar>
              <w:top w:w="30" w:type="dxa"/>
              <w:bottom w:w="30" w:type="dxa"/>
              <w:left w:w="50" w:type="dxa"/>
              <w:right w:w="50" w:type="dxa"/>
            </w:tcMar>
          </w:tcPr>
          <w:p>
            <w:pPr>
              <w:spacing w:before="20" w:after="20" w:line="252" w:lineRule="auto"/>
            </w:pPr>
            <w:r>
              <w:rPr>
                <w:rFonts w:ascii="Times New Roman" w:hAnsi="Times New Roman"/>
                <w:color w:val="000000"/>
                <w:sz w:val="17"/>
              </w:rPr>
              <w:t>INT</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PK, AUTO_INCREMENT</w:t>
            </w:r>
          </w:p>
        </w:tc>
        <w:tc>
          <w:tcPr>
            <w:tcW w:type="dxa" w:w="1152"/>
            <w:tcMar>
              <w:top w:w="30" w:type="dxa"/>
              <w:bottom w:w="30" w:type="dxa"/>
              <w:left w:w="50" w:type="dxa"/>
              <w:right w:w="50" w:type="dxa"/>
            </w:tcMar>
          </w:tcPr>
          <w:p>
            <w:pPr>
              <w:spacing w:before="20" w:after="20" w:line="252" w:lineRule="auto"/>
            </w:pPr>
            <w:r>
              <w:rPr>
                <w:rFonts w:ascii="Times New Roman" w:hAnsi="Times New Roman"/>
                <w:color w:val="000000"/>
                <w:sz w:val="17"/>
              </w:rPr>
              <w:t>None</w:t>
            </w:r>
          </w:p>
        </w:tc>
        <w:tc>
          <w:tcPr>
            <w:tcW w:type="dxa" w:w="2880"/>
            <w:tcMar>
              <w:top w:w="30" w:type="dxa"/>
              <w:bottom w:w="30" w:type="dxa"/>
              <w:left w:w="50" w:type="dxa"/>
              <w:right w:w="50" w:type="dxa"/>
            </w:tcMar>
          </w:tcPr>
          <w:p>
            <w:pPr>
              <w:spacing w:before="20" w:after="20" w:line="252" w:lineRule="auto"/>
            </w:pPr>
            <w:r>
              <w:rPr>
                <w:rFonts w:ascii="Times New Roman" w:hAnsi="Times New Roman"/>
                <w:color w:val="000000"/>
                <w:sz w:val="17"/>
              </w:rPr>
              <w:t>Unique resource listing ID</w:t>
            </w:r>
          </w:p>
        </w:tc>
      </w:tr>
      <w:tr>
        <w:tc>
          <w:tcPr>
            <w:tcW w:type="dxa" w:w="158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owner_id</w:t>
            </w:r>
          </w:p>
        </w:tc>
        <w:tc>
          <w:tcPr>
            <w:tcW w:type="dxa" w:w="158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INT</w:t>
            </w:r>
          </w:p>
        </w:tc>
        <w:tc>
          <w:tcPr>
            <w:tcW w:type="dxa" w:w="216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NOT NULL, FK (users.id)</w:t>
            </w:r>
          </w:p>
        </w:tc>
        <w:tc>
          <w:tcPr>
            <w:tcW w:type="dxa" w:w="115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None</w:t>
            </w:r>
          </w:p>
        </w:tc>
        <w:tc>
          <w:tcPr>
            <w:tcW w:type="dxa" w:w="288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References the item owner</w:t>
            </w:r>
          </w:p>
        </w:tc>
      </w:tr>
      <w:tr>
        <w:tc>
          <w:tcPr>
            <w:tcW w:type="dxa" w:w="1584"/>
            <w:tcMar>
              <w:top w:w="30" w:type="dxa"/>
              <w:bottom w:w="30" w:type="dxa"/>
              <w:left w:w="50" w:type="dxa"/>
              <w:right w:w="50" w:type="dxa"/>
            </w:tcMar>
          </w:tcPr>
          <w:p>
            <w:pPr>
              <w:spacing w:before="20" w:after="20" w:line="252" w:lineRule="auto"/>
            </w:pPr>
            <w:r>
              <w:rPr>
                <w:rFonts w:ascii="Times New Roman" w:hAnsi="Times New Roman"/>
                <w:color w:val="000000"/>
                <w:sz w:val="17"/>
              </w:rPr>
              <w:t>item_name</w:t>
            </w:r>
          </w:p>
        </w:tc>
        <w:tc>
          <w:tcPr>
            <w:tcW w:type="dxa" w:w="1584"/>
            <w:tcMar>
              <w:top w:w="30" w:type="dxa"/>
              <w:bottom w:w="30" w:type="dxa"/>
              <w:left w:w="50" w:type="dxa"/>
              <w:right w:w="50" w:type="dxa"/>
            </w:tcMar>
          </w:tcPr>
          <w:p>
            <w:pPr>
              <w:spacing w:before="20" w:after="20" w:line="252" w:lineRule="auto"/>
            </w:pPr>
            <w:r>
              <w:rPr>
                <w:rFonts w:ascii="Times New Roman" w:hAnsi="Times New Roman"/>
                <w:color w:val="000000"/>
                <w:sz w:val="17"/>
              </w:rPr>
              <w:t>VARCHAR(150)</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NOT NULL</w:t>
            </w:r>
          </w:p>
        </w:tc>
        <w:tc>
          <w:tcPr>
            <w:tcW w:type="dxa" w:w="1152"/>
            <w:tcMar>
              <w:top w:w="30" w:type="dxa"/>
              <w:bottom w:w="30" w:type="dxa"/>
              <w:left w:w="50" w:type="dxa"/>
              <w:right w:w="50" w:type="dxa"/>
            </w:tcMar>
          </w:tcPr>
          <w:p>
            <w:pPr>
              <w:spacing w:before="20" w:after="20" w:line="252" w:lineRule="auto"/>
            </w:pPr>
            <w:r>
              <w:rPr>
                <w:rFonts w:ascii="Times New Roman" w:hAnsi="Times New Roman"/>
                <w:color w:val="000000"/>
                <w:sz w:val="17"/>
              </w:rPr>
              <w:t>None</w:t>
            </w:r>
          </w:p>
        </w:tc>
        <w:tc>
          <w:tcPr>
            <w:tcW w:type="dxa" w:w="2880"/>
            <w:tcMar>
              <w:top w:w="30" w:type="dxa"/>
              <w:bottom w:w="30" w:type="dxa"/>
              <w:left w:w="50" w:type="dxa"/>
              <w:right w:w="50" w:type="dxa"/>
            </w:tcMar>
          </w:tcPr>
          <w:p>
            <w:pPr>
              <w:spacing w:before="20" w:after="20" w:line="252" w:lineRule="auto"/>
            </w:pPr>
            <w:r>
              <w:rPr>
                <w:rFonts w:ascii="Times New Roman" w:hAnsi="Times New Roman"/>
                <w:color w:val="000000"/>
                <w:sz w:val="17"/>
              </w:rPr>
              <w:t>Title of the listed item</w:t>
            </w:r>
          </w:p>
        </w:tc>
      </w:tr>
      <w:tr>
        <w:tc>
          <w:tcPr>
            <w:tcW w:type="dxa" w:w="158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category</w:t>
            </w:r>
          </w:p>
        </w:tc>
        <w:tc>
          <w:tcPr>
            <w:tcW w:type="dxa" w:w="158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VARCHAR(50)</w:t>
            </w:r>
          </w:p>
        </w:tc>
        <w:tc>
          <w:tcPr>
            <w:tcW w:type="dxa" w:w="216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NOT NULL</w:t>
            </w:r>
          </w:p>
        </w:tc>
        <w:tc>
          <w:tcPr>
            <w:tcW w:type="dxa" w:w="115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None</w:t>
            </w:r>
          </w:p>
        </w:tc>
        <w:tc>
          <w:tcPr>
            <w:tcW w:type="dxa" w:w="288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Classification (Tools, Kitchen, etc.)</w:t>
            </w:r>
          </w:p>
        </w:tc>
      </w:tr>
      <w:tr>
        <w:tc>
          <w:tcPr>
            <w:tcW w:type="dxa" w:w="1584"/>
            <w:tcMar>
              <w:top w:w="30" w:type="dxa"/>
              <w:bottom w:w="30" w:type="dxa"/>
              <w:left w:w="50" w:type="dxa"/>
              <w:right w:w="50" w:type="dxa"/>
            </w:tcMar>
          </w:tcPr>
          <w:p>
            <w:pPr>
              <w:spacing w:before="20" w:after="20" w:line="252" w:lineRule="auto"/>
            </w:pPr>
            <w:r>
              <w:rPr>
                <w:rFonts w:ascii="Times New Roman" w:hAnsi="Times New Roman"/>
                <w:color w:val="000000"/>
                <w:sz w:val="17"/>
              </w:rPr>
              <w:t>description</w:t>
            </w:r>
          </w:p>
        </w:tc>
        <w:tc>
          <w:tcPr>
            <w:tcW w:type="dxa" w:w="1584"/>
            <w:tcMar>
              <w:top w:w="30" w:type="dxa"/>
              <w:bottom w:w="30" w:type="dxa"/>
              <w:left w:w="50" w:type="dxa"/>
              <w:right w:w="50" w:type="dxa"/>
            </w:tcMar>
          </w:tcPr>
          <w:p>
            <w:pPr>
              <w:spacing w:before="20" w:after="20" w:line="252" w:lineRule="auto"/>
            </w:pPr>
            <w:r>
              <w:rPr>
                <w:rFonts w:ascii="Times New Roman" w:hAnsi="Times New Roman"/>
                <w:color w:val="000000"/>
                <w:sz w:val="17"/>
              </w:rPr>
              <w:t>TEXT</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NULLABLE</w:t>
            </w:r>
          </w:p>
        </w:tc>
        <w:tc>
          <w:tcPr>
            <w:tcW w:type="dxa" w:w="1152"/>
            <w:tcMar>
              <w:top w:w="30" w:type="dxa"/>
              <w:bottom w:w="30" w:type="dxa"/>
              <w:left w:w="50" w:type="dxa"/>
              <w:right w:w="50" w:type="dxa"/>
            </w:tcMar>
          </w:tcPr>
          <w:p>
            <w:pPr>
              <w:spacing w:before="20" w:after="20" w:line="252" w:lineRule="auto"/>
            </w:pPr>
            <w:r>
              <w:rPr>
                <w:rFonts w:ascii="Times New Roman" w:hAnsi="Times New Roman"/>
                <w:color w:val="000000"/>
                <w:sz w:val="17"/>
              </w:rPr>
              <w:t>NULL</w:t>
            </w:r>
          </w:p>
        </w:tc>
        <w:tc>
          <w:tcPr>
            <w:tcW w:type="dxa" w:w="2880"/>
            <w:tcMar>
              <w:top w:w="30" w:type="dxa"/>
              <w:bottom w:w="30" w:type="dxa"/>
              <w:left w:w="50" w:type="dxa"/>
              <w:right w:w="50" w:type="dxa"/>
            </w:tcMar>
          </w:tcPr>
          <w:p>
            <w:pPr>
              <w:spacing w:before="20" w:after="20" w:line="252" w:lineRule="auto"/>
            </w:pPr>
            <w:r>
              <w:rPr>
                <w:rFonts w:ascii="Times New Roman" w:hAnsi="Times New Roman"/>
                <w:color w:val="000000"/>
                <w:sz w:val="17"/>
              </w:rPr>
              <w:t>Usage guidelines and condition</w:t>
            </w:r>
          </w:p>
        </w:tc>
      </w:tr>
      <w:tr>
        <w:tc>
          <w:tcPr>
            <w:tcW w:type="dxa" w:w="158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image</w:t>
            </w:r>
          </w:p>
        </w:tc>
        <w:tc>
          <w:tcPr>
            <w:tcW w:type="dxa" w:w="158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VARCHAR(255)</w:t>
            </w:r>
          </w:p>
        </w:tc>
        <w:tc>
          <w:tcPr>
            <w:tcW w:type="dxa" w:w="216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NULLABLE</w:t>
            </w:r>
          </w:p>
        </w:tc>
        <w:tc>
          <w:tcPr>
            <w:tcW w:type="dxa" w:w="115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NULL</w:t>
            </w:r>
          </w:p>
        </w:tc>
        <w:tc>
          <w:tcPr>
            <w:tcW w:type="dxa" w:w="288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UUID image filename on server disk</w:t>
            </w:r>
          </w:p>
        </w:tc>
      </w:tr>
      <w:tr>
        <w:tc>
          <w:tcPr>
            <w:tcW w:type="dxa" w:w="1584"/>
            <w:tcMar>
              <w:top w:w="30" w:type="dxa"/>
              <w:bottom w:w="30" w:type="dxa"/>
              <w:left w:w="50" w:type="dxa"/>
              <w:right w:w="50" w:type="dxa"/>
            </w:tcMar>
          </w:tcPr>
          <w:p>
            <w:pPr>
              <w:spacing w:before="20" w:after="20" w:line="252" w:lineRule="auto"/>
            </w:pPr>
            <w:r>
              <w:rPr>
                <w:rFonts w:ascii="Times New Roman" w:hAnsi="Times New Roman"/>
                <w:color w:val="000000"/>
                <w:sz w:val="17"/>
              </w:rPr>
              <w:t>availability</w:t>
            </w:r>
          </w:p>
        </w:tc>
        <w:tc>
          <w:tcPr>
            <w:tcW w:type="dxa" w:w="1584"/>
            <w:tcMar>
              <w:top w:w="30" w:type="dxa"/>
              <w:bottom w:w="30" w:type="dxa"/>
              <w:left w:w="50" w:type="dxa"/>
              <w:right w:w="50" w:type="dxa"/>
            </w:tcMar>
          </w:tcPr>
          <w:p>
            <w:pPr>
              <w:spacing w:before="20" w:after="20" w:line="252" w:lineRule="auto"/>
            </w:pPr>
            <w:r>
              <w:rPr>
                <w:rFonts w:ascii="Times New Roman" w:hAnsi="Times New Roman"/>
                <w:color w:val="000000"/>
                <w:sz w:val="17"/>
              </w:rPr>
              <w:t>ENUM</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NOT NULL</w:t>
            </w:r>
          </w:p>
        </w:tc>
        <w:tc>
          <w:tcPr>
            <w:tcW w:type="dxa" w:w="1152"/>
            <w:tcMar>
              <w:top w:w="30" w:type="dxa"/>
              <w:bottom w:w="30" w:type="dxa"/>
              <w:left w:w="50" w:type="dxa"/>
              <w:right w:w="50" w:type="dxa"/>
            </w:tcMar>
          </w:tcPr>
          <w:p>
            <w:pPr>
              <w:spacing w:before="20" w:after="20" w:line="252" w:lineRule="auto"/>
            </w:pPr>
            <w:r>
              <w:rPr>
                <w:rFonts w:ascii="Times New Roman" w:hAnsi="Times New Roman"/>
                <w:color w:val="000000"/>
                <w:sz w:val="17"/>
              </w:rPr>
              <w:t>'Available'</w:t>
            </w:r>
          </w:p>
        </w:tc>
        <w:tc>
          <w:tcPr>
            <w:tcW w:type="dxa" w:w="2880"/>
            <w:tcMar>
              <w:top w:w="30" w:type="dxa"/>
              <w:bottom w:w="30" w:type="dxa"/>
              <w:left w:w="50" w:type="dxa"/>
              <w:right w:w="50" w:type="dxa"/>
            </w:tcMar>
          </w:tcPr>
          <w:p>
            <w:pPr>
              <w:spacing w:before="20" w:after="20" w:line="252" w:lineRule="auto"/>
            </w:pPr>
            <w:r>
              <w:rPr>
                <w:rFonts w:ascii="Times New Roman" w:hAnsi="Times New Roman"/>
                <w:color w:val="000000"/>
                <w:sz w:val="17"/>
              </w:rPr>
              <w:t>Status: 'Available' or 'Lent'</w:t>
            </w:r>
          </w:p>
        </w:tc>
      </w:tr>
      <w:tr>
        <w:tc>
          <w:tcPr>
            <w:tcW w:type="dxa" w:w="158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created_at</w:t>
            </w:r>
          </w:p>
        </w:tc>
        <w:tc>
          <w:tcPr>
            <w:tcW w:type="dxa" w:w="158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TIMESTAMP</w:t>
            </w:r>
          </w:p>
        </w:tc>
        <w:tc>
          <w:tcPr>
            <w:tcW w:type="dxa" w:w="216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NOT NULL</w:t>
            </w:r>
          </w:p>
        </w:tc>
        <w:tc>
          <w:tcPr>
            <w:tcW w:type="dxa" w:w="115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CURRENT_TIMESTAMP</w:t>
            </w:r>
          </w:p>
        </w:tc>
        <w:tc>
          <w:tcPr>
            <w:tcW w:type="dxa" w:w="288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Listing creation timestamp</w:t>
            </w:r>
          </w:p>
        </w:tc>
      </w:tr>
    </w:tbl>
    <w:p>
      <w:pPr>
        <w:spacing w:line="360" w:lineRule="auto" w:after="80"/>
        <w:jc w:val="both"/>
      </w:pPr>
      <w:r>
        <w:rPr>
          <w:rFonts w:ascii="Times New Roman" w:hAnsi="Times New Roman"/>
          <w:b/>
          <w:color w:val="000000"/>
          <w:sz w:val="24"/>
        </w:rPr>
        <w:t xml:space="preserve">Lending Requests Table: </w:t>
      </w:r>
      <w:r>
        <w:rPr>
          <w:rFonts w:ascii="Times New Roman" w:hAnsi="Times New Roman"/>
          <w:color w:val="000000"/>
          <w:sz w:val="24"/>
        </w:rPr>
        <w:t>Table 3: Data Dictionary for `lending_requests` Table</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584"/>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Column Name</w:t>
            </w:r>
          </w:p>
        </w:tc>
        <w:tc>
          <w:tcPr>
            <w:tcW w:type="dxa" w:w="1584"/>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Data Type</w:t>
            </w:r>
          </w:p>
        </w:tc>
        <w:tc>
          <w:tcPr>
            <w:tcW w:type="dxa" w:w="2160"/>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Constraints</w:t>
            </w:r>
          </w:p>
        </w:tc>
        <w:tc>
          <w:tcPr>
            <w:tcW w:type="dxa" w:w="1152"/>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Default</w:t>
            </w:r>
          </w:p>
        </w:tc>
        <w:tc>
          <w:tcPr>
            <w:tcW w:type="dxa" w:w="2880"/>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Description</w:t>
            </w:r>
          </w:p>
        </w:tc>
      </w:tr>
      <w:tr>
        <w:tc>
          <w:tcPr>
            <w:tcW w:type="dxa" w:w="1584"/>
            <w:tcMar>
              <w:top w:w="30" w:type="dxa"/>
              <w:bottom w:w="30" w:type="dxa"/>
              <w:left w:w="50" w:type="dxa"/>
              <w:right w:w="50" w:type="dxa"/>
            </w:tcMar>
          </w:tcPr>
          <w:p>
            <w:pPr>
              <w:spacing w:before="20" w:after="20" w:line="252" w:lineRule="auto"/>
            </w:pPr>
            <w:r>
              <w:rPr>
                <w:rFonts w:ascii="Times New Roman" w:hAnsi="Times New Roman"/>
                <w:color w:val="000000"/>
                <w:sz w:val="17"/>
              </w:rPr>
              <w:t>id</w:t>
            </w:r>
          </w:p>
        </w:tc>
        <w:tc>
          <w:tcPr>
            <w:tcW w:type="dxa" w:w="1584"/>
            <w:tcMar>
              <w:top w:w="30" w:type="dxa"/>
              <w:bottom w:w="30" w:type="dxa"/>
              <w:left w:w="50" w:type="dxa"/>
              <w:right w:w="50" w:type="dxa"/>
            </w:tcMar>
          </w:tcPr>
          <w:p>
            <w:pPr>
              <w:spacing w:before="20" w:after="20" w:line="252" w:lineRule="auto"/>
            </w:pPr>
            <w:r>
              <w:rPr>
                <w:rFonts w:ascii="Times New Roman" w:hAnsi="Times New Roman"/>
                <w:color w:val="000000"/>
                <w:sz w:val="17"/>
              </w:rPr>
              <w:t>INT</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PK, AUTO_INCREMENT</w:t>
            </w:r>
          </w:p>
        </w:tc>
        <w:tc>
          <w:tcPr>
            <w:tcW w:type="dxa" w:w="1152"/>
            <w:tcMar>
              <w:top w:w="30" w:type="dxa"/>
              <w:bottom w:w="30" w:type="dxa"/>
              <w:left w:w="50" w:type="dxa"/>
              <w:right w:w="50" w:type="dxa"/>
            </w:tcMar>
          </w:tcPr>
          <w:p>
            <w:pPr>
              <w:spacing w:before="20" w:after="20" w:line="252" w:lineRule="auto"/>
            </w:pPr>
            <w:r>
              <w:rPr>
                <w:rFonts w:ascii="Times New Roman" w:hAnsi="Times New Roman"/>
                <w:color w:val="000000"/>
                <w:sz w:val="17"/>
              </w:rPr>
              <w:t>None</w:t>
            </w:r>
          </w:p>
        </w:tc>
        <w:tc>
          <w:tcPr>
            <w:tcW w:type="dxa" w:w="2880"/>
            <w:tcMar>
              <w:top w:w="30" w:type="dxa"/>
              <w:bottom w:w="30" w:type="dxa"/>
              <w:left w:w="50" w:type="dxa"/>
              <w:right w:w="50" w:type="dxa"/>
            </w:tcMar>
          </w:tcPr>
          <w:p>
            <w:pPr>
              <w:spacing w:before="20" w:after="20" w:line="252" w:lineRule="auto"/>
            </w:pPr>
            <w:r>
              <w:rPr>
                <w:rFonts w:ascii="Times New Roman" w:hAnsi="Times New Roman"/>
                <w:color w:val="000000"/>
                <w:sz w:val="17"/>
              </w:rPr>
              <w:t>Unique request transaction ID</w:t>
            </w:r>
          </w:p>
        </w:tc>
      </w:tr>
      <w:tr>
        <w:tc>
          <w:tcPr>
            <w:tcW w:type="dxa" w:w="158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item_id</w:t>
            </w:r>
          </w:p>
        </w:tc>
        <w:tc>
          <w:tcPr>
            <w:tcW w:type="dxa" w:w="158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INT</w:t>
            </w:r>
          </w:p>
        </w:tc>
        <w:tc>
          <w:tcPr>
            <w:tcW w:type="dxa" w:w="216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NOT NULL, FK (items.id)</w:t>
            </w:r>
          </w:p>
        </w:tc>
        <w:tc>
          <w:tcPr>
            <w:tcW w:type="dxa" w:w="115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None</w:t>
            </w:r>
          </w:p>
        </w:tc>
        <w:tc>
          <w:tcPr>
            <w:tcW w:type="dxa" w:w="288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References requested item</w:t>
            </w:r>
          </w:p>
        </w:tc>
      </w:tr>
      <w:tr>
        <w:tc>
          <w:tcPr>
            <w:tcW w:type="dxa" w:w="1584"/>
            <w:tcMar>
              <w:top w:w="30" w:type="dxa"/>
              <w:bottom w:w="30" w:type="dxa"/>
              <w:left w:w="50" w:type="dxa"/>
              <w:right w:w="50" w:type="dxa"/>
            </w:tcMar>
          </w:tcPr>
          <w:p>
            <w:pPr>
              <w:spacing w:before="20" w:after="20" w:line="252" w:lineRule="auto"/>
            </w:pPr>
            <w:r>
              <w:rPr>
                <w:rFonts w:ascii="Times New Roman" w:hAnsi="Times New Roman"/>
                <w:color w:val="000000"/>
                <w:sz w:val="17"/>
              </w:rPr>
              <w:t>borrower_id</w:t>
            </w:r>
          </w:p>
        </w:tc>
        <w:tc>
          <w:tcPr>
            <w:tcW w:type="dxa" w:w="1584"/>
            <w:tcMar>
              <w:top w:w="30" w:type="dxa"/>
              <w:bottom w:w="30" w:type="dxa"/>
              <w:left w:w="50" w:type="dxa"/>
              <w:right w:w="50" w:type="dxa"/>
            </w:tcMar>
          </w:tcPr>
          <w:p>
            <w:pPr>
              <w:spacing w:before="20" w:after="20" w:line="252" w:lineRule="auto"/>
            </w:pPr>
            <w:r>
              <w:rPr>
                <w:rFonts w:ascii="Times New Roman" w:hAnsi="Times New Roman"/>
                <w:color w:val="000000"/>
                <w:sz w:val="17"/>
              </w:rPr>
              <w:t>INT</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NOT NULL, FK (users.id)</w:t>
            </w:r>
          </w:p>
        </w:tc>
        <w:tc>
          <w:tcPr>
            <w:tcW w:type="dxa" w:w="1152"/>
            <w:tcMar>
              <w:top w:w="30" w:type="dxa"/>
              <w:bottom w:w="30" w:type="dxa"/>
              <w:left w:w="50" w:type="dxa"/>
              <w:right w:w="50" w:type="dxa"/>
            </w:tcMar>
          </w:tcPr>
          <w:p>
            <w:pPr>
              <w:spacing w:before="20" w:after="20" w:line="252" w:lineRule="auto"/>
            </w:pPr>
            <w:r>
              <w:rPr>
                <w:rFonts w:ascii="Times New Roman" w:hAnsi="Times New Roman"/>
                <w:color w:val="000000"/>
                <w:sz w:val="17"/>
              </w:rPr>
              <w:t>None</w:t>
            </w:r>
          </w:p>
        </w:tc>
        <w:tc>
          <w:tcPr>
            <w:tcW w:type="dxa" w:w="2880"/>
            <w:tcMar>
              <w:top w:w="30" w:type="dxa"/>
              <w:bottom w:w="30" w:type="dxa"/>
              <w:left w:w="50" w:type="dxa"/>
              <w:right w:w="50" w:type="dxa"/>
            </w:tcMar>
          </w:tcPr>
          <w:p>
            <w:pPr>
              <w:spacing w:before="20" w:after="20" w:line="252" w:lineRule="auto"/>
            </w:pPr>
            <w:r>
              <w:rPr>
                <w:rFonts w:ascii="Times New Roman" w:hAnsi="Times New Roman"/>
                <w:color w:val="000000"/>
                <w:sz w:val="17"/>
              </w:rPr>
              <w:t>References requesting borrower</w:t>
            </w:r>
          </w:p>
        </w:tc>
      </w:tr>
      <w:tr>
        <w:tc>
          <w:tcPr>
            <w:tcW w:type="dxa" w:w="158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owner_id</w:t>
            </w:r>
          </w:p>
        </w:tc>
        <w:tc>
          <w:tcPr>
            <w:tcW w:type="dxa" w:w="158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INT</w:t>
            </w:r>
          </w:p>
        </w:tc>
        <w:tc>
          <w:tcPr>
            <w:tcW w:type="dxa" w:w="216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NOT NULL, FK (users.id)</w:t>
            </w:r>
          </w:p>
        </w:tc>
        <w:tc>
          <w:tcPr>
            <w:tcW w:type="dxa" w:w="115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None</w:t>
            </w:r>
          </w:p>
        </w:tc>
        <w:tc>
          <w:tcPr>
            <w:tcW w:type="dxa" w:w="288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References item owner</w:t>
            </w:r>
          </w:p>
        </w:tc>
      </w:tr>
      <w:tr>
        <w:tc>
          <w:tcPr>
            <w:tcW w:type="dxa" w:w="1584"/>
            <w:tcMar>
              <w:top w:w="30" w:type="dxa"/>
              <w:bottom w:w="30" w:type="dxa"/>
              <w:left w:w="50" w:type="dxa"/>
              <w:right w:w="50" w:type="dxa"/>
            </w:tcMar>
          </w:tcPr>
          <w:p>
            <w:pPr>
              <w:spacing w:before="20" w:after="20" w:line="252" w:lineRule="auto"/>
            </w:pPr>
            <w:r>
              <w:rPr>
                <w:rFonts w:ascii="Times New Roman" w:hAnsi="Times New Roman"/>
                <w:color w:val="000000"/>
                <w:sz w:val="17"/>
              </w:rPr>
              <w:t>status</w:t>
            </w:r>
          </w:p>
        </w:tc>
        <w:tc>
          <w:tcPr>
            <w:tcW w:type="dxa" w:w="1584"/>
            <w:tcMar>
              <w:top w:w="30" w:type="dxa"/>
              <w:bottom w:w="30" w:type="dxa"/>
              <w:left w:w="50" w:type="dxa"/>
              <w:right w:w="50" w:type="dxa"/>
            </w:tcMar>
          </w:tcPr>
          <w:p>
            <w:pPr>
              <w:spacing w:before="20" w:after="20" w:line="252" w:lineRule="auto"/>
            </w:pPr>
            <w:r>
              <w:rPr>
                <w:rFonts w:ascii="Times New Roman" w:hAnsi="Times New Roman"/>
                <w:color w:val="000000"/>
                <w:sz w:val="17"/>
              </w:rPr>
              <w:t>ENUM</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NOT NULL</w:t>
            </w:r>
          </w:p>
        </w:tc>
        <w:tc>
          <w:tcPr>
            <w:tcW w:type="dxa" w:w="1152"/>
            <w:tcMar>
              <w:top w:w="30" w:type="dxa"/>
              <w:bottom w:w="30" w:type="dxa"/>
              <w:left w:w="50" w:type="dxa"/>
              <w:right w:w="50" w:type="dxa"/>
            </w:tcMar>
          </w:tcPr>
          <w:p>
            <w:pPr>
              <w:spacing w:before="20" w:after="20" w:line="252" w:lineRule="auto"/>
            </w:pPr>
            <w:r>
              <w:rPr>
                <w:rFonts w:ascii="Times New Roman" w:hAnsi="Times New Roman"/>
                <w:color w:val="000000"/>
                <w:sz w:val="17"/>
              </w:rPr>
              <w:t>'Pending'</w:t>
            </w:r>
          </w:p>
        </w:tc>
        <w:tc>
          <w:tcPr>
            <w:tcW w:type="dxa" w:w="2880"/>
            <w:tcMar>
              <w:top w:w="30" w:type="dxa"/>
              <w:bottom w:w="30" w:type="dxa"/>
              <w:left w:w="50" w:type="dxa"/>
              <w:right w:w="50" w:type="dxa"/>
            </w:tcMar>
          </w:tcPr>
          <w:p>
            <w:pPr>
              <w:spacing w:before="20" w:after="20" w:line="252" w:lineRule="auto"/>
            </w:pPr>
            <w:r>
              <w:rPr>
                <w:rFonts w:ascii="Times New Roman" w:hAnsi="Times New Roman"/>
                <w:color w:val="000000"/>
                <w:sz w:val="17"/>
              </w:rPr>
              <w:t>'Pending', 'Approved', 'Rejected', 'Returned'</w:t>
            </w:r>
          </w:p>
        </w:tc>
      </w:tr>
      <w:tr>
        <w:tc>
          <w:tcPr>
            <w:tcW w:type="dxa" w:w="158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requested_at</w:t>
            </w:r>
          </w:p>
        </w:tc>
        <w:tc>
          <w:tcPr>
            <w:tcW w:type="dxa" w:w="158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TIMESTAMP</w:t>
            </w:r>
          </w:p>
        </w:tc>
        <w:tc>
          <w:tcPr>
            <w:tcW w:type="dxa" w:w="216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NOT NULL</w:t>
            </w:r>
          </w:p>
        </w:tc>
        <w:tc>
          <w:tcPr>
            <w:tcW w:type="dxa" w:w="115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CURRENT_TIMESTAMP</w:t>
            </w:r>
          </w:p>
        </w:tc>
        <w:tc>
          <w:tcPr>
            <w:tcW w:type="dxa" w:w="288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Request submission timestamp</w:t>
            </w:r>
          </w:p>
        </w:tc>
      </w:tr>
    </w:tbl>
    <w:p>
      <w:pPr>
        <w:keepNext/>
        <w:spacing w:before="140" w:after="40" w:line="288" w:lineRule="auto"/>
      </w:pPr>
      <w:r>
        <w:rPr>
          <w:rFonts w:ascii="Times New Roman" w:hAnsi="Times New Roman"/>
          <w:b/>
          <w:color w:val="000000"/>
          <w:sz w:val="26"/>
        </w:rPr>
        <w:t>2.4 Database Performance, Security, and Integrity</w:t>
      </w:r>
    </w:p>
    <w:p>
      <w:pPr>
        <w:pStyle w:val="ListBullet"/>
        <w:spacing w:line="360" w:lineRule="auto" w:after="60"/>
        <w:jc w:val="both"/>
      </w:pPr>
      <w:r>
        <w:rPr>
          <w:rFonts w:ascii="Times New Roman" w:hAnsi="Times New Roman"/>
          <w:b/>
          <w:color w:val="000000"/>
          <w:sz w:val="24"/>
        </w:rPr>
        <w:t xml:space="preserve">B-Tree Indexing: </w:t>
      </w:r>
      <w:r>
        <w:rPr>
          <w:rFonts w:ascii="Times New Roman" w:hAnsi="Times New Roman"/>
          <w:color w:val="000000"/>
          <w:sz w:val="24"/>
        </w:rPr>
        <w:t>Primary keys use clustered indexes for rapid lookups. Foreign keys (`owner_id`, `borrower_id`, `item_id`) are indexed to optimize relational JOIN operations.</w:t>
      </w:r>
    </w:p>
    <w:p>
      <w:pPr>
        <w:pStyle w:val="ListBullet"/>
        <w:spacing w:line="360" w:lineRule="auto" w:after="60"/>
        <w:jc w:val="both"/>
      </w:pPr>
      <w:r>
        <w:rPr>
          <w:rFonts w:ascii="Times New Roman" w:hAnsi="Times New Roman"/>
          <w:b/>
          <w:color w:val="000000"/>
          <w:sz w:val="24"/>
        </w:rPr>
        <w:t xml:space="preserve">Referential Integrity: </w:t>
      </w:r>
      <w:r>
        <w:rPr>
          <w:rFonts w:ascii="Times New Roman" w:hAnsi="Times New Roman"/>
          <w:color w:val="000000"/>
          <w:sz w:val="24"/>
        </w:rPr>
        <w:t>Foreign key constraints enforced by the MySQL engine prevent dangling records and guarantee relational consistency.</w:t>
      </w:r>
    </w:p>
    <w:p>
      <w:pPr>
        <w:pStyle w:val="ListBullet"/>
        <w:spacing w:line="360" w:lineRule="auto" w:after="60"/>
        <w:jc w:val="both"/>
      </w:pPr>
      <w:r>
        <w:rPr>
          <w:rFonts w:ascii="Times New Roman" w:hAnsi="Times New Roman"/>
          <w:b/>
          <w:color w:val="000000"/>
          <w:sz w:val="24"/>
        </w:rPr>
        <w:t xml:space="preserve">Security &amp; Encryption: </w:t>
      </w:r>
      <w:r>
        <w:rPr>
          <w:rFonts w:ascii="Times New Roman" w:hAnsi="Times New Roman"/>
          <w:color w:val="000000"/>
          <w:sz w:val="24"/>
        </w:rPr>
        <w:t>Client-to-database connections use TLS 1.2+ encryption over port 4000. Parameterized SQL queries completely eliminate SQL injection threats.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000000"/>
        <w:sz w:val="18"/>
      </w:rPr>
      <w:t>Second Review Report — Design: System Design &amp; Database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