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color w:val="000000"/>
          <w:sz w:val="32"/>
        </w:rPr>
        <w:t>3. TESTING APPROACH AND VERIFICATION RESULTS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i/>
          <w:color w:val="000000"/>
          <w:sz w:val="22"/>
        </w:rPr>
        <w:t>Project Work: Community Lending Platform for Sharing and Borrowing Household Resources — Second Review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1. Testing Methodology: The V-Model Lifecycle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Software testing is a structured verification and validation process designed to ensure that the Community Lending Platform operates reliably, satisfies functional requirements, and protects user data under both normal and edge-case conditions. The engineering team adopted the V-Model methodology, pairing each phase of development directly with a corresponding level of verification.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1.1 The V-Model Phase Mapping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Requirements Phase &lt;-&gt; Acceptance Testing (UAT): </w:t>
      </w:r>
      <w:r>
        <w:rPr>
          <w:rFonts w:ascii="Times New Roman" w:hAnsi="Times New Roman"/>
          <w:color w:val="000000"/>
          <w:sz w:val="24"/>
        </w:rPr>
        <w:t>Verifies that the platform meets community resource-sharing needs, usability criteria, and neighbor trust standards.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System Design &lt;-&gt; System Testing: </w:t>
      </w:r>
      <w:r>
        <w:rPr>
          <w:rFonts w:ascii="Times New Roman" w:hAnsi="Times New Roman"/>
          <w:color w:val="000000"/>
          <w:sz w:val="24"/>
        </w:rPr>
        <w:t>Validates complete end-to-end workflows across the integrated web interface, backend controllers, and database.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Subsystem Design &lt;-&gt; Integration Testing: </w:t>
      </w:r>
      <w:r>
        <w:rPr>
          <w:rFonts w:ascii="Times New Roman" w:hAnsi="Times New Roman"/>
          <w:color w:val="000000"/>
          <w:sz w:val="24"/>
        </w:rPr>
        <w:t>Validates API contracts, session management, and database query executions between separate architectural tiers.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Implementation &lt;-&gt; Unit Testing: </w:t>
      </w:r>
      <w:r>
        <w:rPr>
          <w:rFonts w:ascii="Times New Roman" w:hAnsi="Times New Roman"/>
          <w:color w:val="000000"/>
          <w:sz w:val="24"/>
        </w:rPr>
        <w:t>Validates individual Python functions, password hashing routines, and input validators in isolation.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28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v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28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60"/>
        <w:jc w:val="center"/>
      </w:pPr>
      <w:r>
        <w:rPr>
          <w:rFonts w:ascii="Times New Roman" w:hAnsi="Times New Roman"/>
          <w:b/>
          <w:color w:val="000000"/>
          <w:sz w:val="20"/>
        </w:rPr>
        <w:t>Figure 8: V-Model Verification and Validation Lifecycle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2. The Four Levels of Testing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Testing was conducted systematically across four progressive levels: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2.1 Level 1: Unit Testing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Password Hashing Tests: </w:t>
      </w:r>
      <w:r>
        <w:rPr>
          <w:rFonts w:ascii="Times New Roman" w:hAnsi="Times New Roman"/>
          <w:color w:val="000000"/>
          <w:sz w:val="24"/>
        </w:rPr>
        <w:t>Validated that `generate_password_hash` creates salted PBKDF2 strings and `check_password_hash` correctly authenticates matching credentials while rejecting invalid inputs.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File Sanitization &amp; UUID Tests: </w:t>
      </w:r>
      <w:r>
        <w:rPr>
          <w:rFonts w:ascii="Times New Roman" w:hAnsi="Times New Roman"/>
          <w:color w:val="000000"/>
          <w:sz w:val="24"/>
        </w:rPr>
        <w:t>Tested that `secure_filename()` strips directory traversal characters (`../`) and that unique UUID filenames eliminate disk overwrite collisions.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2.2 Level 2: Integration Testing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Database Persistence: </w:t>
      </w:r>
      <w:r>
        <w:rPr>
          <w:rFonts w:ascii="Times New Roman" w:hAnsi="Times New Roman"/>
          <w:color w:val="000000"/>
          <w:sz w:val="24"/>
        </w:rPr>
        <w:t>Verified that PyMySQL queries execute cleanly against TiDB Cloud, enforce foreign keys, and roll back failed transactions.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Form Parsing &amp; Routing: </w:t>
      </w:r>
      <w:r>
        <w:rPr>
          <w:rFonts w:ascii="Times New Roman" w:hAnsi="Times New Roman"/>
          <w:color w:val="000000"/>
          <w:sz w:val="24"/>
        </w:rPr>
        <w:t>Verified that Flask route handlers parse incoming POST request form fields and return proper HTTP status codes.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2.3 Level 3: System Testing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End-to-End Lending Cycle: </w:t>
      </w:r>
      <w:r>
        <w:rPr>
          <w:rFonts w:ascii="Times New Roman" w:hAnsi="Times New Roman"/>
          <w:color w:val="000000"/>
          <w:sz w:val="24"/>
        </w:rPr>
        <w:t>Simulated the complete sharing workflow: User A registers and lists a lawnmower -&gt; User B registers, discovers the item via search, and submits a request -&gt; User A approves -&gt; Status updates to 'Lent' -&gt; User A marks returned -&gt; Status reverts to 'Available'.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Cross-Browser Compatibility: </w:t>
      </w:r>
      <w:r>
        <w:rPr>
          <w:rFonts w:ascii="Times New Roman" w:hAnsi="Times New Roman"/>
          <w:color w:val="000000"/>
          <w:sz w:val="24"/>
        </w:rPr>
        <w:t>Verified responsive rendering across Google Chrome, Mozilla Firefox, Microsoft Edge, and mobile Safari.</w:t>
      </w:r>
    </w:p>
    <w:p>
      <w:pPr>
        <w:keepNext/>
        <w:spacing w:before="140" w:after="40" w:line="288" w:lineRule="auto"/>
      </w:pPr>
      <w:r>
        <w:rPr>
          <w:rFonts w:ascii="Times New Roman" w:hAnsi="Times New Roman"/>
          <w:b/>
          <w:color w:val="000000"/>
          <w:sz w:val="26"/>
        </w:rPr>
        <w:t>2.4 Level 4: Acceptance Testing (UAT)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Conducted User Acceptance Testing with a pilot group of community members. Participants completed registration and item listing in under 90 seconds. 94% of users rated the web interface intuitive, straightforward, and easy to use.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3. Regression Testing and OWASP Security Assessment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Continuous automated testing and security assessments ensure ongoing stability and data protection: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Automated Regression CI Pipeline: </w:t>
      </w:r>
      <w:r>
        <w:rPr>
          <w:rFonts w:ascii="Times New Roman" w:hAnsi="Times New Roman"/>
          <w:color w:val="000000"/>
          <w:sz w:val="24"/>
        </w:rPr>
        <w:t>Configured GitHub Actions CI workflows to automatically execute the `pytest` test suite on every pull request and commit, blocking regressions before code is merged.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OWASP A01 (Access Control): </w:t>
      </w:r>
      <w:r>
        <w:rPr>
          <w:rFonts w:ascii="Times New Roman" w:hAnsi="Times New Roman"/>
          <w:color w:val="000000"/>
          <w:sz w:val="24"/>
        </w:rPr>
        <w:t>Verified that unauthenticated users cannot access `/dashboard` or modify listings, and ensured owners can only modify their own items.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OWASP A03 (SQL Injection): </w:t>
      </w:r>
      <w:r>
        <w:rPr>
          <w:rFonts w:ascii="Times New Roman" w:hAnsi="Times New Roman"/>
          <w:color w:val="000000"/>
          <w:sz w:val="24"/>
        </w:rPr>
        <w:t>Executed penetration tests using malicious SQL strings (`' OR 1=1 --`). All attacks were neutralized by parameterized queries.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OWASP A07 (Cross-Site Scripting): </w:t>
      </w:r>
      <w:r>
        <w:rPr>
          <w:rFonts w:ascii="Times New Roman" w:hAnsi="Times New Roman"/>
          <w:color w:val="000000"/>
          <w:sz w:val="24"/>
        </w:rPr>
        <w:t>Submitted script tags (`&lt;script&gt;alert()&lt;/script&gt;`) in form fields; Jinja2 auto-escaping safely converted them to HTML entities.</w:t>
      </w:r>
    </w:p>
    <w:p>
      <w:pPr>
        <w:keepNext/>
        <w:spacing w:before="200" w:after="60" w:line="288" w:lineRule="auto"/>
      </w:pPr>
      <w:r>
        <w:rPr>
          <w:rFonts w:ascii="Times New Roman" w:hAnsi="Times New Roman"/>
          <w:b/>
          <w:color w:val="000000"/>
          <w:sz w:val="28"/>
        </w:rPr>
        <w:t>4. Formal Test Case Execution Matrix</w:t>
      </w:r>
    </w:p>
    <w:p>
      <w:pPr>
        <w:spacing w:line="360" w:lineRule="auto" w:after="80"/>
        <w:jc w:val="both"/>
      </w:pPr>
      <w:r>
        <w:rPr>
          <w:rFonts w:ascii="Times New Roman" w:hAnsi="Times New Roman"/>
          <w:color w:val="000000"/>
          <w:sz w:val="24"/>
        </w:rPr>
        <w:t>The following validation matrix presents fifteen test cases covering authentication, listing, search, request workflow, and edge-case handling: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864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TC ID</w:t>
            </w:r>
          </w:p>
        </w:tc>
        <w:tc>
          <w:tcPr>
            <w:tcW w:type="dxa" w:w="115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Module</w:t>
            </w:r>
          </w:p>
        </w:tc>
        <w:tc>
          <w:tcPr>
            <w:tcW w:type="dxa" w:w="2160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Scenario</w:t>
            </w:r>
          </w:p>
        </w:tc>
        <w:tc>
          <w:tcPr>
            <w:tcW w:type="dxa" w:w="273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Test Steps &amp; Input</w:t>
            </w:r>
          </w:p>
        </w:tc>
        <w:tc>
          <w:tcPr>
            <w:tcW w:type="dxa" w:w="1872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Expected Result</w:t>
            </w:r>
          </w:p>
        </w:tc>
        <w:tc>
          <w:tcPr>
            <w:tcW w:type="dxa" w:w="576"/>
            <w:shd w:fill="E2E8F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 w:line="252" w:lineRule="auto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Status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TC-01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Auth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New User Registration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form: Valid name, unique email, strong password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Account created; password hashed; redirected to login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TC-02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Auth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Duplicate Email Registration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registration with an already registered email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Error message shown: 'Email already registered'; record blocked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TC-03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Auth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User Login (Valid)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valid registered email and matching password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Session established; user redirected to dashboard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TC-04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Auth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User Login (Invalid)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valid email with incorrect password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Error message: 'Invalid credentials'; session not created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TC-05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Auth Guard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Protected Route Access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Navigate directly to `/dashboard` without active login session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Blocked; redirected to `/login` with warning alert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TC-06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Catalog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Add Item Listing (Valid)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title, category 'Tools', description, valid JPG photo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Item record created; UUID photo saved; displayed in catalog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TC-07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Catalog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Disallowed File Upload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Attempt to upload `.exe` or `.pdf` file in item listing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Upload rejected; error shown: 'Allowed file types are PNG, JPG, WEBP'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TC-08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Search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Keyword Catalog Search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Enter 'Drill' in search bar and submit query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Catalog displays only items containing 'Drill' in title/description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TC-09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Filter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Category Filter Selection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Select 'Kitchen' from the category dropdown filter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Catalog refreshes displaying solely kitchen-related items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TC-10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Workflow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Self-Borrowing Prevention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Item owner attempts to submit borrow request on own listing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System blocks request; displays 'You cannot borrow your own item'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TC-11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Workflow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Submit Borrow Request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Borrower clicks 'Request Item' on available resource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 created with 'Pending' status; owner notified on dashboard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TC-12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Workflow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Duplicate Request Prevention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Borrower clicks 'Request Item' again on same pending item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Blocked; displays alert: 'You already have an active request'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TC-13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Approval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 Approves Request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 clicks 'Approve' on pending borrow request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 status becomes 'Approved'; item status updates to 'Lent'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TC-14</w:t>
            </w:r>
          </w:p>
        </w:tc>
        <w:tc>
          <w:tcPr>
            <w:tcW w:type="dxa" w:w="115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Approval</w:t>
            </w:r>
          </w:p>
        </w:tc>
        <w:tc>
          <w:tcPr>
            <w:tcW w:type="dxa" w:w="2160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 Declines Request</w:t>
            </w:r>
          </w:p>
        </w:tc>
        <w:tc>
          <w:tcPr>
            <w:tcW w:type="dxa" w:w="273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 clicks 'Decline' on pending borrow request</w:t>
            </w:r>
          </w:p>
        </w:tc>
        <w:tc>
          <w:tcPr>
            <w:tcW w:type="dxa" w:w="1872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 status becomes 'Rejected'; item status remains 'Available'</w:t>
            </w:r>
          </w:p>
        </w:tc>
        <w:tc>
          <w:tcPr>
            <w:tcW w:type="dxa" w:w="576"/>
            <w:shd w:fill="F8FAFC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86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TC-15</w:t>
            </w:r>
          </w:p>
        </w:tc>
        <w:tc>
          <w:tcPr>
            <w:tcW w:type="dxa" w:w="115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Lifecycle</w:t>
            </w:r>
          </w:p>
        </w:tc>
        <w:tc>
          <w:tcPr>
            <w:tcW w:type="dxa" w:w="216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Mark Item as Returned</w:t>
            </w:r>
          </w:p>
        </w:tc>
        <w:tc>
          <w:tcPr>
            <w:tcW w:type="dxa" w:w="273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Owner clicks 'Mark Returned' after borrowing period concludes</w:t>
            </w:r>
          </w:p>
        </w:tc>
        <w:tc>
          <w:tcPr>
            <w:tcW w:type="dxa" w:w="187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Request status becomes 'Returned'; item status reverts to 'Available'</w:t>
            </w:r>
          </w:p>
        </w:tc>
        <w:tc>
          <w:tcPr>
            <w:tcW w:type="dxa" w:w="576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PASS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18"/>
      </w:rPr>
      <w:t>Second Review Report — Testing Approach &amp; Verification Results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