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Times New Roman" w:hAnsi="Times New Roman"/>
          <w:b/>
          <w:color w:val="000000"/>
          <w:sz w:val="32"/>
        </w:rPr>
        <w:t>4. TOOLS AND TECHNOLOGIES</w:t>
      </w:r>
    </w:p>
    <w:p>
      <w:pPr>
        <w:spacing w:before="0" w:after="200" w:line="276" w:lineRule="auto"/>
        <w:jc w:val="left"/>
      </w:pPr>
      <w:r>
        <w:rPr>
          <w:rFonts w:ascii="Times New Roman" w:hAnsi="Times New Roman"/>
          <w:i/>
          <w:color w:val="000000"/>
          <w:sz w:val="22"/>
        </w:rPr>
        <w:t>Project Work: Community Lending Platform for Sharing and Borrowing Household Resources — Second Review</w:t>
      </w:r>
    </w:p>
    <w:p>
      <w:pPr>
        <w:keepNext/>
        <w:spacing w:before="200" w:after="60" w:line="288" w:lineRule="auto"/>
      </w:pPr>
      <w:r>
        <w:rPr>
          <w:rFonts w:ascii="Times New Roman" w:hAnsi="Times New Roman"/>
          <w:b/>
          <w:color w:val="000000"/>
          <w:sz w:val="28"/>
        </w:rPr>
        <w:t>1. State-of-the-Art Technology Stack Architecture</w:t>
      </w:r>
    </w:p>
    <w:p>
      <w:pPr>
        <w:spacing w:line="360" w:lineRule="auto" w:after="80"/>
        <w:jc w:val="both"/>
      </w:pPr>
      <w:r>
        <w:rPr>
          <w:rFonts w:ascii="Times New Roman" w:hAnsi="Times New Roman"/>
          <w:color w:val="000000"/>
          <w:sz w:val="24"/>
        </w:rPr>
        <w:t>The Community Lending Platform is built upon modern, industry-standard web technologies organized into distinct functional tiers. Selecting established open-source frameworks and cloud services guarantees high operational reliability, robust data security, and long-term maintainability.</w:t>
      </w:r>
    </w:p>
    <w:p>
      <w:pPr>
        <w:keepNext/>
        <w:spacing w:before="140" w:after="40" w:line="288" w:lineRule="auto"/>
      </w:pPr>
      <w:r>
        <w:rPr>
          <w:rFonts w:ascii="Times New Roman" w:hAnsi="Times New Roman"/>
          <w:b/>
          <w:color w:val="000000"/>
          <w:sz w:val="26"/>
        </w:rPr>
        <w:t>1.1 Frontend Web Presentation Tier</w:t>
      </w:r>
    </w:p>
    <w:p>
      <w:pPr>
        <w:pStyle w:val="ListBullet"/>
        <w:spacing w:line="360" w:lineRule="auto" w:after="60"/>
        <w:jc w:val="both"/>
      </w:pPr>
      <w:r>
        <w:rPr>
          <w:rFonts w:ascii="Times New Roman" w:hAnsi="Times New Roman"/>
          <w:b/>
          <w:color w:val="000000"/>
          <w:sz w:val="24"/>
        </w:rPr>
        <w:t xml:space="preserve">HTML5 Semantic Markup: </w:t>
      </w:r>
      <w:r>
        <w:rPr>
          <w:rFonts w:ascii="Times New Roman" w:hAnsi="Times New Roman"/>
          <w:color w:val="000000"/>
          <w:sz w:val="24"/>
        </w:rPr>
        <w:t>Structures web pages using modern semantic tags (`&lt;nav&gt;`, `&lt;header&gt;`, `&lt;main&gt;`, `&lt;section&gt;`, `&lt;footer&gt;`), improving web accessibility and browser rendering standards.</w:t>
      </w:r>
    </w:p>
    <w:p>
      <w:pPr>
        <w:pStyle w:val="ListBullet"/>
        <w:spacing w:line="360" w:lineRule="auto" w:after="60"/>
        <w:jc w:val="both"/>
      </w:pPr>
      <w:r>
        <w:rPr>
          <w:rFonts w:ascii="Times New Roman" w:hAnsi="Times New Roman"/>
          <w:b/>
          <w:color w:val="000000"/>
          <w:sz w:val="24"/>
        </w:rPr>
        <w:t xml:space="preserve">CSS3 Custom Responsive Styling: </w:t>
      </w:r>
      <w:r>
        <w:rPr>
          <w:rFonts w:ascii="Times New Roman" w:hAnsi="Times New Roman"/>
          <w:color w:val="000000"/>
          <w:sz w:val="24"/>
        </w:rPr>
        <w:t>Employs CSS3 Flexbox and CSS Grid layouts with responsive media queries, providing a clean user experience across desktop monitors, laptops, tablets, and smartphones.</w:t>
      </w:r>
    </w:p>
    <w:p>
      <w:pPr>
        <w:pStyle w:val="ListBullet"/>
        <w:spacing w:line="360" w:lineRule="auto" w:after="60"/>
        <w:jc w:val="both"/>
      </w:pPr>
      <w:r>
        <w:rPr>
          <w:rFonts w:ascii="Times New Roman" w:hAnsi="Times New Roman"/>
          <w:b/>
          <w:color w:val="000000"/>
          <w:sz w:val="24"/>
        </w:rPr>
        <w:t xml:space="preserve">JavaScript ES6+: </w:t>
      </w:r>
      <w:r>
        <w:rPr>
          <w:rFonts w:ascii="Times New Roman" w:hAnsi="Times New Roman"/>
          <w:color w:val="000000"/>
          <w:sz w:val="24"/>
        </w:rPr>
        <w:t>Provides interactive client-side functionality, dynamic DOM updates, real-time catalog search filtering, and client form validation without page reloads.</w:t>
      </w:r>
    </w:p>
    <w:p>
      <w:pPr>
        <w:pStyle w:val="ListBullet"/>
        <w:spacing w:line="360" w:lineRule="auto" w:after="60"/>
        <w:jc w:val="both"/>
      </w:pPr>
      <w:r>
        <w:rPr>
          <w:rFonts w:ascii="Times New Roman" w:hAnsi="Times New Roman"/>
          <w:b/>
          <w:color w:val="000000"/>
          <w:sz w:val="24"/>
        </w:rPr>
        <w:t xml:space="preserve">Jinja2 Template Engine: </w:t>
      </w:r>
      <w:r>
        <w:rPr>
          <w:rFonts w:ascii="Times New Roman" w:hAnsi="Times New Roman"/>
          <w:color w:val="000000"/>
          <w:sz w:val="24"/>
        </w:rPr>
        <w:t>Server-side templating engine providing master template inheritance (`base.html`), dynamic looping, and automatic HTML character escaping to neutralize Cross-Site Scripting (XSS) threats.</w:t>
      </w:r>
    </w:p>
    <w:p>
      <w:pPr>
        <w:keepNext/>
        <w:spacing w:before="140" w:after="40" w:line="288" w:lineRule="auto"/>
      </w:pPr>
      <w:r>
        <w:rPr>
          <w:rFonts w:ascii="Times New Roman" w:hAnsi="Times New Roman"/>
          <w:b/>
          <w:color w:val="000000"/>
          <w:sz w:val="26"/>
        </w:rPr>
        <w:t>1.2 Backend Application Tier</w:t>
      </w:r>
    </w:p>
    <w:p>
      <w:pPr>
        <w:pStyle w:val="ListBullet"/>
        <w:spacing w:line="360" w:lineRule="auto" w:after="60"/>
        <w:jc w:val="both"/>
      </w:pPr>
      <w:r>
        <w:rPr>
          <w:rFonts w:ascii="Times New Roman" w:hAnsi="Times New Roman"/>
          <w:b/>
          <w:color w:val="000000"/>
          <w:sz w:val="24"/>
        </w:rPr>
        <w:t xml:space="preserve">Python 3.10+ Runtime: </w:t>
      </w:r>
      <w:r>
        <w:rPr>
          <w:rFonts w:ascii="Times New Roman" w:hAnsi="Times New Roman"/>
          <w:color w:val="000000"/>
          <w:sz w:val="24"/>
        </w:rPr>
        <w:t>Modern Python runtime offering memory management, rich standard libraries, and clean syntax.</w:t>
      </w:r>
    </w:p>
    <w:p>
      <w:pPr>
        <w:pStyle w:val="ListBullet"/>
        <w:spacing w:line="360" w:lineRule="auto" w:after="60"/>
        <w:jc w:val="both"/>
      </w:pPr>
      <w:r>
        <w:rPr>
          <w:rFonts w:ascii="Times New Roman" w:hAnsi="Times New Roman"/>
          <w:b/>
          <w:color w:val="000000"/>
          <w:sz w:val="24"/>
        </w:rPr>
        <w:t xml:space="preserve">Flask Micro-Framework: </w:t>
      </w:r>
      <w:r>
        <w:rPr>
          <w:rFonts w:ascii="Times New Roman" w:hAnsi="Times New Roman"/>
          <w:color w:val="000000"/>
          <w:sz w:val="24"/>
        </w:rPr>
        <w:t>Lightweight WSGI web application framework delivering fast route handling, request context management, and secure session state handling without bloated overhead.</w:t>
      </w:r>
    </w:p>
    <w:p>
      <w:pPr>
        <w:pStyle w:val="ListBullet"/>
        <w:spacing w:line="360" w:lineRule="auto" w:after="60"/>
        <w:jc w:val="both"/>
      </w:pPr>
      <w:r>
        <w:rPr>
          <w:rFonts w:ascii="Times New Roman" w:hAnsi="Times New Roman"/>
          <w:b/>
          <w:color w:val="000000"/>
          <w:sz w:val="24"/>
        </w:rPr>
        <w:t xml:space="preserve">Gunicorn WSGI Production Server: </w:t>
      </w:r>
      <w:r>
        <w:rPr>
          <w:rFonts w:ascii="Times New Roman" w:hAnsi="Times New Roman"/>
          <w:color w:val="000000"/>
          <w:sz w:val="24"/>
        </w:rPr>
        <w:t>Pre-forking worker model application server executing the Flask backend in production environments on Linux, handling concurrent HTTP requests efficiently.</w:t>
      </w:r>
    </w:p>
    <w:p>
      <w:pPr>
        <w:pStyle w:val="ListBullet"/>
        <w:spacing w:line="360" w:lineRule="auto" w:after="60"/>
        <w:jc w:val="both"/>
      </w:pPr>
      <w:r>
        <w:rPr>
          <w:rFonts w:ascii="Times New Roman" w:hAnsi="Times New Roman"/>
          <w:b/>
          <w:color w:val="000000"/>
          <w:sz w:val="24"/>
        </w:rPr>
        <w:t xml:space="preserve">Werkzeug Security Utilities: </w:t>
      </w:r>
      <w:r>
        <w:rPr>
          <w:rFonts w:ascii="Times New Roman" w:hAnsi="Times New Roman"/>
          <w:color w:val="000000"/>
          <w:sz w:val="24"/>
        </w:rPr>
        <w:t>Industrial-grade cryptographic module executing salted PBKDF2:SHA256 password hashing with 260,000 iterations and `secure_filename()` path sanitization.</w:t>
      </w:r>
    </w:p>
    <w:p>
      <w:pPr>
        <w:keepNext/>
        <w:spacing w:before="140" w:after="40" w:line="288" w:lineRule="auto"/>
      </w:pPr>
      <w:r>
        <w:rPr>
          <w:rFonts w:ascii="Times New Roman" w:hAnsi="Times New Roman"/>
          <w:b/>
          <w:color w:val="000000"/>
          <w:sz w:val="26"/>
        </w:rPr>
        <w:t>1.3 Database Persistence Tier</w:t>
      </w:r>
    </w:p>
    <w:p>
      <w:pPr>
        <w:pStyle w:val="ListBullet"/>
        <w:spacing w:line="360" w:lineRule="auto" w:after="60"/>
        <w:jc w:val="both"/>
      </w:pPr>
      <w:r>
        <w:rPr>
          <w:rFonts w:ascii="Times New Roman" w:hAnsi="Times New Roman"/>
          <w:b/>
          <w:color w:val="000000"/>
          <w:sz w:val="24"/>
        </w:rPr>
        <w:t xml:space="preserve">TiDB Serverless Cloud: </w:t>
      </w:r>
      <w:r>
        <w:rPr>
          <w:rFonts w:ascii="Times New Roman" w:hAnsi="Times New Roman"/>
          <w:color w:val="000000"/>
          <w:sz w:val="24"/>
        </w:rPr>
        <w:t>Distributed, cloud-native relational database communicating via the MySQL 8.0 wire protocol, providing automated multi-zone clustering, elastic auto-scaling, and daily snapshots.</w:t>
      </w:r>
    </w:p>
    <w:p>
      <w:pPr>
        <w:pStyle w:val="ListBullet"/>
        <w:spacing w:line="360" w:lineRule="auto" w:after="60"/>
        <w:jc w:val="both"/>
      </w:pPr>
      <w:r>
        <w:rPr>
          <w:rFonts w:ascii="Times New Roman" w:hAnsi="Times New Roman"/>
          <w:b/>
          <w:color w:val="000000"/>
          <w:sz w:val="24"/>
        </w:rPr>
        <w:t xml:space="preserve">PyMySQL Connector: </w:t>
      </w:r>
      <w:r>
        <w:rPr>
          <w:rFonts w:ascii="Times New Roman" w:hAnsi="Times New Roman"/>
          <w:color w:val="000000"/>
          <w:sz w:val="24"/>
        </w:rPr>
        <w:t>Pure-Python database driver implementing the Python DB-API 2.0 specification, communicating securely with TiDB over TLS 1.2+ encrypted sockets.</w:t>
      </w:r>
    </w:p>
    <w:p>
      <w:pPr>
        <w:keepNext/>
        <w:spacing w:before="140" w:after="40" w:line="288" w:lineRule="auto"/>
      </w:pPr>
      <w:r>
        <w:rPr>
          <w:rFonts w:ascii="Times New Roman" w:hAnsi="Times New Roman"/>
          <w:b/>
          <w:color w:val="000000"/>
          <w:sz w:val="26"/>
        </w:rPr>
        <w:t>1.4 DevOps, Cloud Hosting, and CI/CD</w:t>
      </w:r>
    </w:p>
    <w:p>
      <w:pPr>
        <w:pStyle w:val="ListBullet"/>
        <w:spacing w:line="360" w:lineRule="auto" w:after="60"/>
        <w:jc w:val="both"/>
      </w:pPr>
      <w:r>
        <w:rPr>
          <w:rFonts w:ascii="Times New Roman" w:hAnsi="Times New Roman"/>
          <w:b/>
          <w:color w:val="000000"/>
          <w:sz w:val="24"/>
        </w:rPr>
        <w:t xml:space="preserve">Render Cloud Platform: </w:t>
      </w:r>
      <w:r>
        <w:rPr>
          <w:rFonts w:ascii="Times New Roman" w:hAnsi="Times New Roman"/>
          <w:color w:val="000000"/>
          <w:sz w:val="24"/>
        </w:rPr>
        <w:t>PaaS container hosting platform providing automated deployments directly linked to GitHub repository commits, free automatic SSL/TLS encryption, and continuous monitoring.</w:t>
      </w:r>
    </w:p>
    <w:p>
      <w:pPr>
        <w:pStyle w:val="ListBullet"/>
        <w:spacing w:line="360" w:lineRule="auto" w:after="60"/>
        <w:jc w:val="both"/>
      </w:pPr>
      <w:r>
        <w:rPr>
          <w:rFonts w:ascii="Times New Roman" w:hAnsi="Times New Roman"/>
          <w:b/>
          <w:color w:val="000000"/>
          <w:sz w:val="24"/>
        </w:rPr>
        <w:t xml:space="preserve">GitHub &amp; Git Version Control: </w:t>
      </w:r>
      <w:r>
        <w:rPr>
          <w:rFonts w:ascii="Times New Roman" w:hAnsi="Times New Roman"/>
          <w:color w:val="000000"/>
          <w:sz w:val="24"/>
        </w:rPr>
        <w:t>Distributed version control system managing source code history, feature branches, peer pull reviews, and automated CI pipelines.</w:t>
      </w:r>
    </w:p>
    <w:p>
      <w:pPr>
        <w:pStyle w:val="ListBullet"/>
        <w:spacing w:line="360" w:lineRule="auto" w:after="60"/>
        <w:jc w:val="both"/>
      </w:pPr>
      <w:r>
        <w:rPr>
          <w:rFonts w:ascii="Times New Roman" w:hAnsi="Times New Roman"/>
          <w:b/>
          <w:color w:val="000000"/>
          <w:sz w:val="24"/>
        </w:rPr>
        <w:t xml:space="preserve">GitHub Actions: </w:t>
      </w:r>
      <w:r>
        <w:rPr>
          <w:rFonts w:ascii="Times New Roman" w:hAnsi="Times New Roman"/>
          <w:color w:val="000000"/>
          <w:sz w:val="24"/>
        </w:rPr>
        <w:t>Continuous Integration (CI) automation runners executing automated test suites on every pull request, safeguarding code quality.</w:t>
      </w:r>
    </w:p>
    <w:p>
      <w:pPr>
        <w:keepNext/>
        <w:spacing w:before="200" w:after="60" w:line="288" w:lineRule="auto"/>
      </w:pPr>
      <w:r>
        <w:rPr>
          <w:rFonts w:ascii="Times New Roman" w:hAnsi="Times New Roman"/>
          <w:b/>
          <w:color w:val="000000"/>
          <w:sz w:val="28"/>
        </w:rPr>
        <w:t>2. Team Collaboration and Engineering Tools</w:t>
      </w:r>
    </w:p>
    <w:p>
      <w:pPr>
        <w:spacing w:line="360" w:lineRule="auto" w:after="80"/>
        <w:jc w:val="both"/>
      </w:pPr>
      <w:r>
        <w:rPr>
          <w:rFonts w:ascii="Times New Roman" w:hAnsi="Times New Roman"/>
          <w:color w:val="000000"/>
          <w:sz w:val="24"/>
        </w:rPr>
        <w:t>Effective teamwork, code review, and project management were facilitated by modern collaboration tools: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Collaboration Tool</w:t>
            </w:r>
          </w:p>
        </w:tc>
        <w:tc>
          <w:tcPr>
            <w:tcW w:type="dxa" w:w="2304"/>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Primary Category</w:t>
            </w:r>
          </w:p>
        </w:tc>
        <w:tc>
          <w:tcPr>
            <w:tcW w:type="dxa" w:w="360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Key Capabilities &amp; Features</w:t>
            </w:r>
          </w:p>
        </w:tc>
        <w:tc>
          <w:tcPr>
            <w:tcW w:type="dxa" w:w="1440"/>
            <w:shd w:fill="E2E8F0"/>
            <w:tcMar>
              <w:top w:w="40" w:type="dxa"/>
              <w:bottom w:w="40" w:type="dxa"/>
              <w:left w:w="50" w:type="dxa"/>
              <w:right w:w="50" w:type="dxa"/>
            </w:tcMar>
          </w:tcPr>
          <w:p>
            <w:pPr>
              <w:spacing w:before="40" w:after="40" w:line="252" w:lineRule="auto"/>
            </w:pPr>
            <w:r>
              <w:rPr>
                <w:rFonts w:ascii="Times New Roman" w:hAnsi="Times New Roman"/>
                <w:b/>
                <w:color w:val="000000"/>
                <w:sz w:val="18"/>
              </w:rPr>
              <w:t>Usage Cadence</w:t>
            </w:r>
          </w:p>
        </w:tc>
      </w:tr>
      <w:tr>
        <w:tc>
          <w:tcPr>
            <w:tcW w:type="dxa" w:w="2016"/>
            <w:tcMar>
              <w:top w:w="30" w:type="dxa"/>
              <w:bottom w:w="30" w:type="dxa"/>
              <w:left w:w="50" w:type="dxa"/>
              <w:right w:w="50" w:type="dxa"/>
            </w:tcMar>
          </w:tcPr>
          <w:p>
            <w:pPr>
              <w:spacing w:before="20" w:after="20" w:line="252" w:lineRule="auto"/>
            </w:pPr>
            <w:r>
              <w:rPr>
                <w:rFonts w:ascii="Times New Roman" w:hAnsi="Times New Roman"/>
                <w:color w:val="000000"/>
                <w:sz w:val="17"/>
              </w:rPr>
              <w:t>GitHub</w:t>
            </w:r>
          </w:p>
        </w:tc>
        <w:tc>
          <w:tcPr>
            <w:tcW w:type="dxa" w:w="2304"/>
            <w:tcMar>
              <w:top w:w="30" w:type="dxa"/>
              <w:bottom w:w="30" w:type="dxa"/>
              <w:left w:w="50" w:type="dxa"/>
              <w:right w:w="50" w:type="dxa"/>
            </w:tcMar>
          </w:tcPr>
          <w:p>
            <w:pPr>
              <w:spacing w:before="20" w:after="20" w:line="252" w:lineRule="auto"/>
            </w:pPr>
            <w:r>
              <w:rPr>
                <w:rFonts w:ascii="Times New Roman" w:hAnsi="Times New Roman"/>
                <w:color w:val="000000"/>
                <w:sz w:val="17"/>
              </w:rPr>
              <w:t>Source Code &amp; Version Control</w:t>
            </w:r>
          </w:p>
        </w:tc>
        <w:tc>
          <w:tcPr>
            <w:tcW w:type="dxa" w:w="3600"/>
            <w:tcMar>
              <w:top w:w="30" w:type="dxa"/>
              <w:bottom w:w="30" w:type="dxa"/>
              <w:left w:w="50" w:type="dxa"/>
              <w:right w:w="50" w:type="dxa"/>
            </w:tcMar>
          </w:tcPr>
          <w:p>
            <w:pPr>
              <w:spacing w:before="20" w:after="20" w:line="252" w:lineRule="auto"/>
            </w:pPr>
            <w:r>
              <w:rPr>
                <w:rFonts w:ascii="Times New Roman" w:hAnsi="Times New Roman"/>
                <w:color w:val="000000"/>
                <w:sz w:val="17"/>
              </w:rPr>
              <w:t>Git hosting, pull request code reviews, branch protection rules, issue tracking, and GitHub Actions CI pipelines.</w:t>
            </w:r>
          </w:p>
        </w:tc>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Daily</w:t>
            </w:r>
          </w:p>
        </w:tc>
      </w:tr>
      <w:tr>
        <w:tc>
          <w:tcPr>
            <w:tcW w:type="dxa" w:w="201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Discord / Slack</w:t>
            </w:r>
          </w:p>
        </w:tc>
        <w:tc>
          <w:tcPr>
            <w:tcW w:type="dxa" w:w="230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Real-Time Team Communication</w:t>
            </w:r>
          </w:p>
        </w:tc>
        <w:tc>
          <w:tcPr>
            <w:tcW w:type="dxa" w:w="360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Direct messaging, technical discussion channels, voice sprint standups, and instant build status alerts.</w:t>
            </w:r>
          </w:p>
        </w:tc>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Daily</w:t>
            </w:r>
          </w:p>
        </w:tc>
      </w:tr>
      <w:tr>
        <w:tc>
          <w:tcPr>
            <w:tcW w:type="dxa" w:w="2016"/>
            <w:tcMar>
              <w:top w:w="30" w:type="dxa"/>
              <w:bottom w:w="30" w:type="dxa"/>
              <w:left w:w="50" w:type="dxa"/>
              <w:right w:w="50" w:type="dxa"/>
            </w:tcMar>
          </w:tcPr>
          <w:p>
            <w:pPr>
              <w:spacing w:before="20" w:after="20" w:line="252" w:lineRule="auto"/>
            </w:pPr>
            <w:r>
              <w:rPr>
                <w:rFonts w:ascii="Times New Roman" w:hAnsi="Times New Roman"/>
                <w:color w:val="000000"/>
                <w:sz w:val="17"/>
              </w:rPr>
              <w:t>Google Drive / Docs</w:t>
            </w:r>
          </w:p>
        </w:tc>
        <w:tc>
          <w:tcPr>
            <w:tcW w:type="dxa" w:w="2304"/>
            <w:tcMar>
              <w:top w:w="30" w:type="dxa"/>
              <w:bottom w:w="30" w:type="dxa"/>
              <w:left w:w="50" w:type="dxa"/>
              <w:right w:w="50" w:type="dxa"/>
            </w:tcMar>
          </w:tcPr>
          <w:p>
            <w:pPr>
              <w:spacing w:before="20" w:after="20" w:line="252" w:lineRule="auto"/>
            </w:pPr>
            <w:r>
              <w:rPr>
                <w:rFonts w:ascii="Times New Roman" w:hAnsi="Times New Roman"/>
                <w:color w:val="000000"/>
                <w:sz w:val="17"/>
              </w:rPr>
              <w:t>Collaborative Documentation</w:t>
            </w:r>
          </w:p>
        </w:tc>
        <w:tc>
          <w:tcPr>
            <w:tcW w:type="dxa" w:w="3600"/>
            <w:tcMar>
              <w:top w:w="30" w:type="dxa"/>
              <w:bottom w:w="30" w:type="dxa"/>
              <w:left w:w="50" w:type="dxa"/>
              <w:right w:w="50" w:type="dxa"/>
            </w:tcMar>
          </w:tcPr>
          <w:p>
            <w:pPr>
              <w:spacing w:before="20" w:after="20" w:line="252" w:lineRule="auto"/>
            </w:pPr>
            <w:r>
              <w:rPr>
                <w:rFonts w:ascii="Times New Roman" w:hAnsi="Times New Roman"/>
                <w:color w:val="000000"/>
                <w:sz w:val="17"/>
              </w:rPr>
              <w:t>Simultaneous multi-user editing for project reports, review presentations, meeting agendas, and specification drafts.</w:t>
            </w:r>
          </w:p>
        </w:tc>
        <w:tc>
          <w:tcPr>
            <w:tcW w:type="dxa" w:w="1440"/>
            <w:tcMar>
              <w:top w:w="30" w:type="dxa"/>
              <w:bottom w:w="30" w:type="dxa"/>
              <w:left w:w="50" w:type="dxa"/>
              <w:right w:w="50" w:type="dxa"/>
            </w:tcMar>
          </w:tcPr>
          <w:p>
            <w:pPr>
              <w:spacing w:before="20" w:after="20" w:line="252" w:lineRule="auto"/>
            </w:pPr>
            <w:r>
              <w:rPr>
                <w:rFonts w:ascii="Times New Roman" w:hAnsi="Times New Roman"/>
                <w:color w:val="000000"/>
                <w:sz w:val="17"/>
              </w:rPr>
              <w:t>Weekly</w:t>
            </w:r>
          </w:p>
        </w:tc>
      </w:tr>
      <w:tr>
        <w:tc>
          <w:tcPr>
            <w:tcW w:type="dxa" w:w="2016"/>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Trello / Jira</w:t>
            </w:r>
          </w:p>
        </w:tc>
        <w:tc>
          <w:tcPr>
            <w:tcW w:type="dxa" w:w="2304"/>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Agile Project Management</w:t>
            </w:r>
          </w:p>
        </w:tc>
        <w:tc>
          <w:tcPr>
            <w:tcW w:type="dxa" w:w="360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Visual Kanban task boards, sprint milestone tracking, feature backlog prioritization, and bug tracking cards.</w:t>
            </w:r>
          </w:p>
        </w:tc>
        <w:tc>
          <w:tcPr>
            <w:tcW w:type="dxa" w:w="1440"/>
            <w:shd w:fill="F8FAFC"/>
            <w:tcMar>
              <w:top w:w="30" w:type="dxa"/>
              <w:bottom w:w="30" w:type="dxa"/>
              <w:left w:w="50" w:type="dxa"/>
              <w:right w:w="50" w:type="dxa"/>
            </w:tcMar>
          </w:tcPr>
          <w:p>
            <w:pPr>
              <w:spacing w:before="20" w:after="20" w:line="252" w:lineRule="auto"/>
            </w:pPr>
            <w:r>
              <w:rPr>
                <w:rFonts w:ascii="Times New Roman" w:hAnsi="Times New Roman"/>
                <w:color w:val="000000"/>
                <w:sz w:val="17"/>
              </w:rPr>
              <w:t>Weekly / Sprint</w:t>
            </w:r>
          </w:p>
        </w:tc>
      </w:tr>
    </w:tbl>
    <w:p>
      <w:pPr>
        <w:keepNext/>
        <w:spacing w:before="200" w:after="60" w:line="288" w:lineRule="auto"/>
      </w:pPr>
      <w:r>
        <w:rPr>
          <w:rFonts w:ascii="Times New Roman" w:hAnsi="Times New Roman"/>
          <w:b/>
          <w:color w:val="000000"/>
          <w:sz w:val="28"/>
        </w:rPr>
        <w:t>3. Technology Selection Criteria and Rationale</w:t>
      </w:r>
    </w:p>
    <w:p>
      <w:pPr>
        <w:spacing w:line="360" w:lineRule="auto" w:after="80"/>
        <w:jc w:val="both"/>
      </w:pPr>
      <w:r>
        <w:rPr>
          <w:rFonts w:ascii="Times New Roman" w:hAnsi="Times New Roman"/>
          <w:color w:val="000000"/>
          <w:sz w:val="24"/>
        </w:rPr>
        <w:t>Every tool and library was chosen after evaluating technical constraints, developer productivity, system performance, and hosting costs:</w:t>
      </w:r>
    </w:p>
    <w:p>
      <w:pPr>
        <w:keepNext/>
        <w:spacing w:before="140" w:after="40" w:line="288" w:lineRule="auto"/>
      </w:pPr>
      <w:r>
        <w:rPr>
          <w:rFonts w:ascii="Times New Roman" w:hAnsi="Times New Roman"/>
          <w:b/>
          <w:color w:val="000000"/>
          <w:sz w:val="26"/>
        </w:rPr>
        <w:t>3.1 Web Framework Selection: Python Flask vs. Django</w:t>
      </w:r>
    </w:p>
    <w:p>
      <w:pPr>
        <w:spacing w:line="360" w:lineRule="auto" w:after="80"/>
        <w:jc w:val="both"/>
      </w:pPr>
      <w:r>
        <w:rPr>
          <w:rFonts w:ascii="Times New Roman" w:hAnsi="Times New Roman"/>
          <w:color w:val="000000"/>
          <w:sz w:val="24"/>
        </w:rPr>
        <w:t>While Django provides a large suite of built-in components, it introduces heavy architectural baggage and rigid ORM constraints. Flask was selected for its micro-framework architecture, giving developers complete control over database drivers and routing pipelines without unnecessary boilerplate.</w:t>
      </w:r>
    </w:p>
    <w:p>
      <w:pPr>
        <w:keepNext/>
        <w:spacing w:before="140" w:after="40" w:line="288" w:lineRule="auto"/>
      </w:pPr>
      <w:r>
        <w:rPr>
          <w:rFonts w:ascii="Times New Roman" w:hAnsi="Times New Roman"/>
          <w:b/>
          <w:color w:val="000000"/>
          <w:sz w:val="26"/>
        </w:rPr>
        <w:t>3.2 Database Architecture Selection: TiDB Serverless vs. MongoDB</w:t>
      </w:r>
    </w:p>
    <w:p>
      <w:pPr>
        <w:spacing w:line="360" w:lineRule="auto" w:after="80"/>
        <w:jc w:val="both"/>
      </w:pPr>
      <w:r>
        <w:rPr>
          <w:rFonts w:ascii="Times New Roman" w:hAnsi="Times New Roman"/>
          <w:color w:val="000000"/>
          <w:sz w:val="24"/>
        </w:rPr>
        <w:t>A community lending platform requires strict transactional guarantees. If an item is being approved for one member, another simultaneous request must not leave the item in an inconsistent state. Relational databases provide ACID compliance, foreign key constraints, and structured schema integrity that document databases like MongoDB do not naturally enforce. TiDB Serverless delivers full MySQL 8.0 compatibility combined with modern cloud auto-scaling.</w:t>
      </w:r>
    </w:p>
    <w:p>
      <w:pPr>
        <w:keepNext/>
        <w:spacing w:before="140" w:after="40" w:line="288" w:lineRule="auto"/>
      </w:pPr>
      <w:r>
        <w:rPr>
          <w:rFonts w:ascii="Times New Roman" w:hAnsi="Times New Roman"/>
          <w:b/>
          <w:color w:val="000000"/>
          <w:sz w:val="26"/>
        </w:rPr>
        <w:t>3.3 Cloud Hosting Selection: Render vs. AWS EC2</w:t>
      </w:r>
    </w:p>
    <w:p>
      <w:pPr>
        <w:spacing w:line="360" w:lineRule="auto" w:after="80"/>
        <w:jc w:val="both"/>
      </w:pPr>
      <w:r>
        <w:rPr>
          <w:rFonts w:ascii="Times New Roman" w:hAnsi="Times New Roman"/>
          <w:color w:val="000000"/>
          <w:sz w:val="24"/>
        </w:rPr>
        <w:t>Deploying on AWS EC2 requires manual Linux provisioning, Nginx reverse-proxy setup, SSL certificate renewals, and operating system patching. Render provides fully managed container deployments directly linked to GitHub repository commits, automated HTTPS certificate renewals, and zero-downtime rolling deploys with minimal operational overhead.</w:t>
      </w:r>
    </w:p>
    <w:p>
      <w:pPr>
        <w:keepNext/>
        <w:spacing w:before="200" w:after="60" w:line="288" w:lineRule="auto"/>
      </w:pPr>
      <w:r>
        <w:rPr>
          <w:rFonts w:ascii="Times New Roman" w:hAnsi="Times New Roman"/>
          <w:b/>
          <w:color w:val="000000"/>
          <w:sz w:val="28"/>
        </w:rPr>
        <w:t>4. Security and Quality Assurance Tooling</w:t>
      </w:r>
    </w:p>
    <w:p>
      <w:pPr>
        <w:spacing w:line="360" w:lineRule="auto" w:after="80"/>
        <w:jc w:val="both"/>
      </w:pPr>
      <w:r>
        <w:rPr>
          <w:rFonts w:ascii="Times New Roman" w:hAnsi="Times New Roman"/>
          <w:color w:val="000000"/>
          <w:sz w:val="24"/>
        </w:rPr>
        <w:t>Software security and reliability were enforced using dedicated development and testing tools:</w:t>
      </w:r>
    </w:p>
    <w:p>
      <w:pPr>
        <w:pStyle w:val="ListBullet"/>
        <w:spacing w:line="360" w:lineRule="auto" w:after="60"/>
        <w:jc w:val="both"/>
      </w:pPr>
      <w:r>
        <w:rPr>
          <w:rFonts w:ascii="Times New Roman" w:hAnsi="Times New Roman"/>
          <w:b/>
          <w:color w:val="000000"/>
          <w:sz w:val="24"/>
        </w:rPr>
        <w:t xml:space="preserve">Visual Studio Code: </w:t>
      </w:r>
      <w:r>
        <w:rPr>
          <w:rFonts w:ascii="Times New Roman" w:hAnsi="Times New Roman"/>
          <w:color w:val="000000"/>
          <w:sz w:val="24"/>
        </w:rPr>
        <w:t>Primary development environment equipped with Python, Pylance, Jinja2, and GitLens extensions for efficient pair programming and debugging.</w:t>
      </w:r>
    </w:p>
    <w:p>
      <w:pPr>
        <w:pStyle w:val="ListBullet"/>
        <w:spacing w:line="360" w:lineRule="auto" w:after="60"/>
        <w:jc w:val="both"/>
      </w:pPr>
      <w:r>
        <w:rPr>
          <w:rFonts w:ascii="Times New Roman" w:hAnsi="Times New Roman"/>
          <w:b/>
          <w:color w:val="000000"/>
          <w:sz w:val="24"/>
        </w:rPr>
        <w:t xml:space="preserve">Postman API Platform: </w:t>
      </w:r>
      <w:r>
        <w:rPr>
          <w:rFonts w:ascii="Times New Roman" w:hAnsi="Times New Roman"/>
          <w:color w:val="000000"/>
          <w:sz w:val="24"/>
        </w:rPr>
        <w:t>Used to construct, execute, and automate HTTP request collections, verifying route handlers, status codes, and error payloads.</w:t>
      </w:r>
    </w:p>
    <w:p>
      <w:pPr>
        <w:pStyle w:val="ListBullet"/>
        <w:spacing w:line="360" w:lineRule="auto" w:after="60"/>
        <w:jc w:val="both"/>
      </w:pPr>
      <w:r>
        <w:rPr>
          <w:rFonts w:ascii="Times New Roman" w:hAnsi="Times New Roman"/>
          <w:b/>
          <w:color w:val="000000"/>
          <w:sz w:val="24"/>
        </w:rPr>
        <w:t xml:space="preserve">Flake8 Static Linter: </w:t>
      </w:r>
      <w:r>
        <w:rPr>
          <w:rFonts w:ascii="Times New Roman" w:hAnsi="Times New Roman"/>
          <w:color w:val="000000"/>
          <w:sz w:val="24"/>
        </w:rPr>
        <w:t>Enforces PEP 8 compliance across all backend source code, detecting syntax inconsistencies, unused imports, and style violations.</w:t>
      </w:r>
    </w:p>
    <w:p>
      <w:pPr>
        <w:pStyle w:val="ListBullet"/>
        <w:spacing w:line="360" w:lineRule="auto" w:after="60"/>
        <w:jc w:val="both"/>
      </w:pPr>
      <w:r>
        <w:rPr>
          <w:rFonts w:ascii="Times New Roman" w:hAnsi="Times New Roman"/>
          <w:b/>
          <w:color w:val="000000"/>
          <w:sz w:val="24"/>
        </w:rPr>
        <w:t xml:space="preserve">pytest Test Framework: </w:t>
      </w:r>
      <w:r>
        <w:rPr>
          <w:rFonts w:ascii="Times New Roman" w:hAnsi="Times New Roman"/>
          <w:color w:val="000000"/>
          <w:sz w:val="24"/>
        </w:rPr>
        <w:t>Executes unit and integration test suites, validating password security, input validators, and database transactions.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8"/>
      </w:rPr>
      <w:t>Second Review Report — Tools and Technologies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