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00000"/>
          <w:sz w:val="30"/>
        </w:rPr>
        <w:t>COMMUNITY LENDING PLATFORM FOR SHARING AND BORROWING HOUSEHOLD RESOURCES</w:t>
      </w:r>
    </w:p>
    <w:p>
      <w:pPr>
        <w:spacing w:before="0" w:after="240" w:line="276" w:lineRule="auto"/>
        <w:jc w:val="center"/>
      </w:pPr>
      <w:r>
        <w:rPr>
          <w:rFonts w:ascii="Times New Roman" w:hAnsi="Times New Roman"/>
          <w:i/>
          <w:color w:val="000000"/>
          <w:sz w:val="22"/>
        </w:rPr>
        <w:t>Project Synopsis &amp; Abstract — First Review</w:t>
      </w:r>
    </w:p>
    <w:p>
      <w:pPr>
        <w:spacing w:before="80" w:after="160"/>
        <w:jc w:val="center"/>
      </w:pPr>
      <w:r>
        <w:rPr>
          <w:rFonts w:ascii="Times New Roman" w:hAnsi="Times New Roman"/>
          <w:b/>
          <w:color w:val="000000"/>
          <w:sz w:val="28"/>
        </w:rPr>
        <w:t>ABSTRACT</w:t>
      </w:r>
    </w:p>
    <w:p>
      <w:pPr>
        <w:spacing w:line="360" w:lineRule="auto" w:after="100"/>
        <w:jc w:val="both"/>
      </w:pPr>
      <w:r>
        <w:rPr>
          <w:rFonts w:ascii="Times New Roman" w:hAnsi="Times New Roman"/>
          <w:color w:val="000000"/>
          <w:sz w:val="24"/>
        </w:rPr>
        <w:t>In modern urban and residential societies, households routinely invest significant financial resources into acquiring high-utility physical items—such as electrical power tools, lawn care equipment, specialized electronics, academic textbooks, and camping gear—that are utilized for only a tiny fraction of their operational lifespan. This consumerist dynamic imposes recurring financial burdens on individuals, promotes domestic clutter, and accelerates carbon emissions and industrial landfill waste through unnecessary mass production. The Community Lending Platform is a full-stack, cloud-integrated collaborative software system engineered to transition residential communities from an ownership-centric model to a sustainable, hyper-local access economy.</w:t>
      </w:r>
    </w:p>
    <w:p>
      <w:pPr>
        <w:spacing w:line="360" w:lineRule="auto" w:after="100"/>
        <w:jc w:val="both"/>
      </w:pPr>
      <w:r>
        <w:rPr>
          <w:rFonts w:ascii="Times New Roman" w:hAnsi="Times New Roman"/>
          <w:color w:val="000000"/>
          <w:sz w:val="24"/>
        </w:rPr>
        <w:t>The platform provides a centralized, authenticated medium through which community members catalog, list, and verify items they are willing to share with neighbors. A major functional highlight is the integrated photographic verification engine, allowing owners to capture and attach real-time photos of items during listing, thereby ensuring transparency regarding physical condition and authenticity. Borrowers can explore an interactive catalog equipped with real-time keyword search and category filtering, submit structured borrow requests, and coordinate pickups directly with item owners.</w:t>
      </w:r>
    </w:p>
    <w:p>
      <w:pPr>
        <w:spacing w:line="360" w:lineRule="auto" w:after="100"/>
        <w:jc w:val="both"/>
      </w:pPr>
      <w:r>
        <w:rPr>
          <w:rFonts w:ascii="Times New Roman" w:hAnsi="Times New Roman"/>
          <w:color w:val="000000"/>
          <w:sz w:val="24"/>
        </w:rPr>
        <w:t>To ensure operational integrity, the platform implements a deterministic finite state machine governing the lending request lifecycle across discrete stages: Pending, Approved, Rejected, and Returned. The system enforces strict atomic consistency, automatically toggling resource availability between 'Available' and 'Lent' to eliminate concurrent scheduling conflicts. Developed utilizing Python (Flask), a high-availability cloud database (TiDB Serverless MySQL with TLS encryption), and a responsive web frontend adhering to modern design principles, the architecture also exposes a standardized JSON REST API to support native mobile client extensions. The platform fosters social cohesion, neighborhood trust, economic frugality, and circular environmental sustainability.</w:t>
      </w:r>
    </w:p>
    <w:p>
      <w:pPr>
        <w:spacing w:before="160" w:after="0" w:line="312" w:lineRule="auto"/>
      </w:pPr>
      <w:r>
        <w:rPr>
          <w:rFonts w:ascii="Times New Roman" w:hAnsi="Times New Roman"/>
          <w:b/>
          <w:color w:val="000000"/>
          <w:sz w:val="22"/>
        </w:rPr>
        <w:t xml:space="preserve">Keywords: </w:t>
      </w:r>
      <w:r>
        <w:rPr>
          <w:rFonts w:ascii="Times New Roman" w:hAnsi="Times New Roman"/>
          <w:i/>
          <w:color w:val="000000"/>
          <w:sz w:val="22"/>
        </w:rPr>
        <w:t>Collaborative Consumption, Resource Sharing, Circular Economy, Cloud MySQL, Python Flask, Photo Verification, State Machine, REST API.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First Review Report —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