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Times New Roman" w:hAnsi="Times New Roman"/>
          <w:b/>
          <w:color w:val="000000"/>
          <w:sz w:val="36"/>
        </w:rPr>
        <w:t>INTRODUCTION</w:t>
      </w:r>
    </w:p>
    <w:p>
      <w:pPr>
        <w:spacing w:before="0" w:after="200" w:line="276" w:lineRule="auto"/>
        <w:jc w:val="left"/>
      </w:pPr>
      <w:r>
        <w:rPr>
          <w:rFonts w:ascii="Times New Roman" w:hAnsi="Times New Roman"/>
          <w:i/>
          <w:color w:val="000000"/>
          <w:sz w:val="22"/>
        </w:rPr>
        <w:t>Project Work: Community Lending Platform for Sharing and Borrowing Household Resources</w:t>
      </w:r>
    </w:p>
    <w:p>
      <w:pPr>
        <w:keepNext/>
        <w:spacing w:before="200" w:after="40" w:line="312" w:lineRule="auto"/>
      </w:pPr>
      <w:r>
        <w:rPr>
          <w:rFonts w:ascii="Times New Roman" w:hAnsi="Times New Roman"/>
          <w:b/>
          <w:color w:val="000000"/>
          <w:sz w:val="26"/>
        </w:rPr>
        <w:t>1. Background of the Project Work</w:t>
      </w:r>
    </w:p>
    <w:p>
      <w:pPr>
        <w:keepNext/>
        <w:spacing w:before="120" w:after="40" w:line="312" w:lineRule="auto"/>
      </w:pPr>
      <w:r>
        <w:rPr>
          <w:rFonts w:ascii="Times New Roman" w:hAnsi="Times New Roman"/>
          <w:b/>
          <w:color w:val="000000"/>
          <w:sz w:val="24"/>
        </w:rPr>
        <w:t>1.1 The Shift from Ownership to Collaborative Access</w:t>
      </w:r>
    </w:p>
    <w:p>
      <w:pPr>
        <w:spacing w:line="360" w:lineRule="auto" w:after="100"/>
        <w:jc w:val="both"/>
      </w:pPr>
      <w:r>
        <w:rPr>
          <w:rFonts w:ascii="Times New Roman" w:hAnsi="Times New Roman"/>
          <w:color w:val="000000"/>
          <w:sz w:val="24"/>
        </w:rPr>
        <w:t>For decades, domestic economies across the globe have operated under the assumption of individual ownership: every household is expected to own its personal set of tools, appliances, books, and recreational gear. However, statistical studies across consumer research indicate that specialized household goods—such as power drills, pressure washers, camping equipment, sewing machines, and project literature—have an active utilization rate of less than 2% across their entire operational lifespan. The average mechanical power drill, for instance, is used for a cumulative total of merely 12 to 15 minutes before being permanently stored in a closet or discarded.</w:t>
      </w:r>
    </w:p>
    <w:p>
      <w:pPr>
        <w:keepNext/>
        <w:spacing w:before="120" w:after="40" w:line="312" w:lineRule="auto"/>
      </w:pPr>
      <w:r>
        <w:rPr>
          <w:rFonts w:ascii="Times New Roman" w:hAnsi="Times New Roman"/>
          <w:b/>
          <w:color w:val="000000"/>
          <w:sz w:val="24"/>
        </w:rPr>
        <w:t>1.2 Underutilization in Modern Residential Communities</w:t>
      </w:r>
    </w:p>
    <w:p>
      <w:pPr>
        <w:spacing w:line="360" w:lineRule="auto" w:after="100"/>
        <w:jc w:val="both"/>
      </w:pPr>
      <w:r>
        <w:rPr>
          <w:rFonts w:ascii="Times New Roman" w:hAnsi="Times New Roman"/>
          <w:color w:val="000000"/>
          <w:sz w:val="24"/>
        </w:rPr>
        <w:t>Within modern residential developments, gated communities, and apartment complexes, dozens of identical tools and resources sit idle behind neighboring doors. Despite physical proximity, residents rarely share items due to social barriers and the absence of a reliable technological infrastructure. The Community Lending Platform is designed to bridge this gap, facilitating a seamless transition toward collaborative consumption where community members share high-utility resources safely and transparently.</w:t>
      </w:r>
    </w:p>
    <w:p>
      <w:pPr>
        <w:keepNext/>
        <w:spacing w:before="200" w:after="40" w:line="312" w:lineRule="auto"/>
      </w:pPr>
      <w:r>
        <w:rPr>
          <w:rFonts w:ascii="Times New Roman" w:hAnsi="Times New Roman"/>
          <w:b/>
          <w:color w:val="000000"/>
          <w:sz w:val="26"/>
        </w:rPr>
        <w:t>2. Establishing the Project Context</w:t>
      </w:r>
    </w:p>
    <w:p>
      <w:pPr>
        <w:spacing w:line="360" w:lineRule="auto" w:after="100"/>
        <w:jc w:val="both"/>
      </w:pPr>
      <w:r>
        <w:rPr>
          <w:rFonts w:ascii="Times New Roman" w:hAnsi="Times New Roman"/>
          <w:color w:val="000000"/>
          <w:sz w:val="24"/>
        </w:rPr>
        <w:t>While commercial e-commerce websites prioritize permanent transactions and commercial rental agencies impose heavy monetary deposits, neither caters to spontaneous, hyper-local community sharing. In most residential areas, sharing attempts take place informally through social messaging groups (such as WhatsApp housing groups) or word-of-mouth. These informal channels suffer from severe operational friction: zero inventory visibility, ambiguity regarding item condition and authenticity, and the complete absence of tracking and accountability.</w:t>
      </w:r>
    </w:p>
    <w:p>
      <w:pPr>
        <w:keepNext/>
        <w:spacing w:before="200" w:after="40" w:line="312" w:lineRule="auto"/>
      </w:pPr>
      <w:r>
        <w:rPr>
          <w:rFonts w:ascii="Times New Roman" w:hAnsi="Times New Roman"/>
          <w:b/>
          <w:color w:val="000000"/>
          <w:sz w:val="26"/>
        </w:rPr>
        <w:t>3. Problem Importance &amp; Societal Significance</w:t>
      </w:r>
    </w:p>
    <w:p>
      <w:pPr>
        <w:spacing w:line="360" w:lineRule="auto" w:after="100"/>
        <w:jc w:val="both"/>
      </w:pPr>
      <w:r>
        <w:rPr>
          <w:rFonts w:ascii="Times New Roman" w:hAnsi="Times New Roman"/>
          <w:color w:val="000000"/>
          <w:sz w:val="24"/>
        </w:rPr>
        <w:t>Solving this resource underutilization problem delivers critical advantages across three key dimensions:</w:t>
      </w:r>
    </w:p>
    <w:p>
      <w:pPr>
        <w:pStyle w:val="ListBullet"/>
        <w:spacing w:line="360" w:lineRule="auto" w:after="80"/>
        <w:jc w:val="both"/>
      </w:pPr>
      <w:r>
        <w:rPr>
          <w:rFonts w:ascii="Times New Roman" w:hAnsi="Times New Roman"/>
          <w:b/>
          <w:color w:val="000000"/>
          <w:sz w:val="24"/>
        </w:rPr>
        <w:t xml:space="preserve">Economic Frugality: </w:t>
      </w:r>
      <w:r>
        <w:rPr>
          <w:rFonts w:ascii="Times New Roman" w:hAnsi="Times New Roman"/>
          <w:color w:val="000000"/>
          <w:sz w:val="24"/>
        </w:rPr>
        <w:t>Enabling families to borrow high-cost, single-use equipment saves hundreds of dollars annually, optimizing disposable household income.</w:t>
      </w:r>
    </w:p>
    <w:p>
      <w:pPr>
        <w:pStyle w:val="ListBullet"/>
        <w:spacing w:line="360" w:lineRule="auto" w:after="80"/>
        <w:jc w:val="both"/>
      </w:pPr>
      <w:r>
        <w:rPr>
          <w:rFonts w:ascii="Times New Roman" w:hAnsi="Times New Roman"/>
          <w:b/>
          <w:color w:val="000000"/>
          <w:sz w:val="24"/>
        </w:rPr>
        <w:t xml:space="preserve">Ecological Sustainability: </w:t>
      </w:r>
      <w:r>
        <w:rPr>
          <w:rFonts w:ascii="Times New Roman" w:hAnsi="Times New Roman"/>
          <w:color w:val="000000"/>
          <w:sz w:val="24"/>
        </w:rPr>
        <w:t>Extending the operational lifespan of existing manufactured goods minimizes landfill contributions and carbon emissions, supporting UN Sustainable Development Goal 12.</w:t>
      </w:r>
    </w:p>
    <w:p>
      <w:pPr>
        <w:pStyle w:val="ListBullet"/>
        <w:spacing w:line="360" w:lineRule="auto" w:after="80"/>
        <w:jc w:val="both"/>
      </w:pPr>
      <w:r>
        <w:rPr>
          <w:rFonts w:ascii="Times New Roman" w:hAnsi="Times New Roman"/>
          <w:b/>
          <w:color w:val="000000"/>
          <w:sz w:val="24"/>
        </w:rPr>
        <w:t xml:space="preserve">Community Social Trust: </w:t>
      </w:r>
      <w:r>
        <w:rPr>
          <w:rFonts w:ascii="Times New Roman" w:hAnsi="Times New Roman"/>
          <w:color w:val="000000"/>
          <w:sz w:val="24"/>
        </w:rPr>
        <w:t>Digital lending workflows establish structured interpersonal connections between neighbors, rebuilding social trust, safety, and mutual community support.</w:t>
      </w:r>
    </w:p>
    <w:p>
      <w:pPr>
        <w:keepNext/>
        <w:spacing w:before="200" w:after="40" w:line="312" w:lineRule="auto"/>
      </w:pPr>
      <w:r>
        <w:rPr>
          <w:rFonts w:ascii="Times New Roman" w:hAnsi="Times New Roman"/>
          <w:b/>
          <w:color w:val="000000"/>
          <w:sz w:val="26"/>
        </w:rPr>
        <w:t>4. Project Objectives and Scope</w:t>
      </w:r>
    </w:p>
    <w:p>
      <w:pPr>
        <w:spacing w:line="360" w:lineRule="auto" w:after="100"/>
        <w:jc w:val="both"/>
      </w:pPr>
      <w:r>
        <w:rPr>
          <w:rFonts w:ascii="Times New Roman" w:hAnsi="Times New Roman"/>
          <w:color w:val="000000"/>
          <w:sz w:val="24"/>
        </w:rPr>
        <w:t>The primary objective is to engineer a secure, full-stack web and mobile application that digitizes community asset sharing. The project scope encompasses centralized resource cataloging with photo uploads, real-time multi-parameter search, a deterministic lending state machine (Pending -&gt; Approved -&gt; Lent -&gt; Returned) to prevent double-booking, and an auditable transaction ledger.</w:t>
      </w:r>
    </w:p>
    <w:p>
      <w:pPr>
        <w:keepNext/>
        <w:spacing w:before="200" w:after="40" w:line="312" w:lineRule="auto"/>
      </w:pPr>
      <w:r>
        <w:rPr>
          <w:rFonts w:ascii="Times New Roman" w:hAnsi="Times New Roman"/>
          <w:b/>
          <w:color w:val="000000"/>
          <w:sz w:val="26"/>
        </w:rPr>
        <w:t>5. Software Development Methodology (Agile SDLC)</w:t>
      </w:r>
    </w:p>
    <w:p>
      <w:pPr>
        <w:spacing w:line="360" w:lineRule="auto" w:after="100"/>
        <w:jc w:val="both"/>
      </w:pPr>
      <w:r>
        <w:rPr>
          <w:rFonts w:ascii="Times New Roman" w:hAnsi="Times New Roman"/>
          <w:color w:val="000000"/>
          <w:sz w:val="24"/>
        </w:rPr>
        <w:t>The project is executed following an Agile Iterative Development Lifecycle, organized across five structured sprints:</w:t>
      </w:r>
    </w:p>
    <w:p>
      <w:pPr>
        <w:pStyle w:val="ListBullet"/>
        <w:spacing w:line="360" w:lineRule="auto" w:after="80"/>
        <w:jc w:val="both"/>
      </w:pPr>
      <w:r>
        <w:rPr>
          <w:rFonts w:ascii="Times New Roman" w:hAnsi="Times New Roman"/>
          <w:b/>
          <w:color w:val="000000"/>
          <w:sz w:val="24"/>
        </w:rPr>
        <w:t xml:space="preserve">Sprint 1: Requirement Analysis &amp; Domain Modeling: </w:t>
      </w:r>
      <w:r>
        <w:rPr>
          <w:rFonts w:ascii="Times New Roman" w:hAnsi="Times New Roman"/>
          <w:color w:val="000000"/>
          <w:sz w:val="24"/>
        </w:rPr>
        <w:t>Stakeholder analysis, requirement specification, database schema normalization (3NF), and UML modeling.</w:t>
      </w:r>
    </w:p>
    <w:p>
      <w:pPr>
        <w:pStyle w:val="ListBullet"/>
        <w:spacing w:line="360" w:lineRule="auto" w:after="80"/>
        <w:jc w:val="both"/>
      </w:pPr>
      <w:r>
        <w:rPr>
          <w:rFonts w:ascii="Times New Roman" w:hAnsi="Times New Roman"/>
          <w:b/>
          <w:color w:val="000000"/>
          <w:sz w:val="24"/>
        </w:rPr>
        <w:t xml:space="preserve">Sprint 2: Backend Core &amp; Cloud Integration: </w:t>
      </w:r>
      <w:r>
        <w:rPr>
          <w:rFonts w:ascii="Times New Roman" w:hAnsi="Times New Roman"/>
          <w:color w:val="000000"/>
          <w:sz w:val="24"/>
        </w:rPr>
        <w:t>Flask WSGI server setup, cryptographic authentication, and cloud-native TiDB Serverless MySQL configuration.</w:t>
      </w:r>
    </w:p>
    <w:p>
      <w:pPr>
        <w:pStyle w:val="ListBullet"/>
        <w:spacing w:line="360" w:lineRule="auto" w:after="80"/>
        <w:jc w:val="both"/>
      </w:pPr>
      <w:r>
        <w:rPr>
          <w:rFonts w:ascii="Times New Roman" w:hAnsi="Times New Roman"/>
          <w:b/>
          <w:color w:val="000000"/>
          <w:sz w:val="24"/>
        </w:rPr>
        <w:t xml:space="preserve">Sprint 3: Media Pipeline &amp; State Workflow: </w:t>
      </w:r>
      <w:r>
        <w:rPr>
          <w:rFonts w:ascii="Times New Roman" w:hAnsi="Times New Roman"/>
          <w:color w:val="000000"/>
          <w:sz w:val="24"/>
        </w:rPr>
        <w:t>Implementing multipart photo uploads, UUID filename sanitization, and state-machine request logic.</w:t>
      </w:r>
    </w:p>
    <w:p>
      <w:pPr>
        <w:pStyle w:val="ListBullet"/>
        <w:spacing w:line="360" w:lineRule="auto" w:after="80"/>
        <w:jc w:val="both"/>
      </w:pPr>
      <w:r>
        <w:rPr>
          <w:rFonts w:ascii="Times New Roman" w:hAnsi="Times New Roman"/>
          <w:b/>
          <w:color w:val="000000"/>
          <w:sz w:val="24"/>
        </w:rPr>
        <w:t xml:space="preserve">Sprint 4: Frontend Modernization &amp; UI: </w:t>
      </w:r>
      <w:r>
        <w:rPr>
          <w:rFonts w:ascii="Times New Roman" w:hAnsi="Times New Roman"/>
          <w:color w:val="000000"/>
          <w:sz w:val="24"/>
        </w:rPr>
        <w:t>Developing HTML5/CSS3 templates, interactive dropzones, category filter chips, and mobile-friendly viewports.</w:t>
      </w:r>
    </w:p>
    <w:p>
      <w:pPr>
        <w:pStyle w:val="ListBullet"/>
        <w:spacing w:line="360" w:lineRule="auto" w:after="80"/>
        <w:jc w:val="both"/>
      </w:pPr>
      <w:r>
        <w:rPr>
          <w:rFonts w:ascii="Times New Roman" w:hAnsi="Times New Roman"/>
          <w:b/>
          <w:color w:val="000000"/>
          <w:sz w:val="24"/>
        </w:rPr>
        <w:t xml:space="preserve">Sprint 5: REST API, Testing &amp; Cloud Staging: </w:t>
      </w:r>
      <w:r>
        <w:rPr>
          <w:rFonts w:ascii="Times New Roman" w:hAnsi="Times New Roman"/>
          <w:color w:val="000000"/>
          <w:sz w:val="24"/>
        </w:rPr>
        <w:t>Exposing JSON REST endpoints, executing test cases, and deploying production web services to Render.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First Review Report — Introduction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