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Times New Roman" w:hAnsi="Times New Roman"/>
          <w:b/>
          <w:color w:val="000000"/>
          <w:sz w:val="36"/>
        </w:rPr>
        <w:t>ANALYSIS AND REQUIREMENTS</w:t>
      </w:r>
    </w:p>
    <w:p>
      <w:pPr>
        <w:spacing w:before="0" w:after="200" w:line="276" w:lineRule="auto"/>
        <w:jc w:val="left"/>
      </w:pPr>
      <w:r>
        <w:rPr>
          <w:rFonts w:ascii="Times New Roman" w:hAnsi="Times New Roman"/>
          <w:i/>
          <w:color w:val="000000"/>
          <w:sz w:val="22"/>
        </w:rPr>
        <w:t>Project Work: Community Lending Platform for Sharing and Borrowing Household Resources</w:t>
      </w:r>
    </w:p>
    <w:p>
      <w:pPr>
        <w:keepNext/>
        <w:spacing w:before="200" w:after="40" w:line="312" w:lineRule="auto"/>
      </w:pPr>
      <w:r>
        <w:rPr>
          <w:rFonts w:ascii="Times New Roman" w:hAnsi="Times New Roman"/>
          <w:b/>
          <w:color w:val="000000"/>
          <w:sz w:val="26"/>
        </w:rPr>
        <w:t>1. Problem Analysis &amp; Stakeholder Modeling</w:t>
      </w:r>
    </w:p>
    <w:p>
      <w:pPr>
        <w:spacing w:line="360" w:lineRule="auto" w:after="100"/>
        <w:jc w:val="both"/>
      </w:pPr>
      <w:r>
        <w:rPr>
          <w:rFonts w:ascii="Times New Roman" w:hAnsi="Times New Roman"/>
          <w:color w:val="000000"/>
          <w:sz w:val="24"/>
        </w:rPr>
        <w:t>Comprehensive domain analysis indicates that informal peer-to-peer sharing breaks down due to three core factors: information asymmetry (residents do not know what neighbors own), trust deficits (fear of item loss or damage), and scheduling friction. To address these factors, the system models three primary user roles: Resource Owner (catalogs items with photos and evaluates requests), Resource Borrower (searches catalog, requests items, coordinates returns), and System Engine (enforces cryptographic security, manages storage, orchestrates state transitions).</w:t>
      </w:r>
    </w:p>
    <w:p>
      <w:pPr>
        <w:keepNext/>
        <w:spacing w:before="200" w:after="40" w:line="312" w:lineRule="auto"/>
      </w:pPr>
      <w:r>
        <w:rPr>
          <w:rFonts w:ascii="Times New Roman" w:hAnsi="Times New Roman"/>
          <w:b/>
          <w:color w:val="000000"/>
          <w:sz w:val="26"/>
        </w:rPr>
        <w:t>2. Analysis Model in Unified Modeling Language (UML)</w:t>
      </w:r>
    </w:p>
    <w:p>
      <w:pPr>
        <w:spacing w:line="360" w:lineRule="auto" w:after="100"/>
        <w:jc w:val="both"/>
      </w:pPr>
      <w:r>
        <w:rPr>
          <w:rFonts w:ascii="Times New Roman" w:hAnsi="Times New Roman"/>
          <w:color w:val="000000"/>
          <w:sz w:val="24"/>
        </w:rPr>
        <w:t>To formally define system interactions and behavioral states, the analysis model is expressed via tabular Use Case specifications and State Transition dynamics:</w:t>
      </w:r>
    </w:p>
    <w:p>
      <w:pPr>
        <w:keepNext/>
        <w:spacing w:before="120" w:after="40" w:line="312" w:lineRule="auto"/>
      </w:pPr>
      <w:r>
        <w:rPr>
          <w:rFonts w:ascii="Times New Roman" w:hAnsi="Times New Roman"/>
          <w:b/>
          <w:color w:val="000000"/>
          <w:sz w:val="24"/>
        </w:rPr>
        <w:t>2.1 Tabular Use Case Specification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E2E8F0"/>
            <w:tcMar>
              <w:top w:w="100" w:type="dxa"/>
              <w:bottom w:w="100" w:type="dxa"/>
              <w:left w:w="120" w:type="dxa"/>
              <w:right w:w="120" w:type="dxa"/>
            </w:tcMar>
          </w:tcPr>
          <w:p>
            <w:r>
              <w:rPr>
                <w:rFonts w:ascii="Times New Roman" w:hAnsi="Times New Roman"/>
                <w:b/>
                <w:color w:val="000000"/>
                <w:sz w:val="20"/>
              </w:rPr>
              <w:t>Use Case ID</w:t>
            </w:r>
          </w:p>
        </w:tc>
        <w:tc>
          <w:tcPr>
            <w:tcW w:type="dxa" w:w="2340"/>
            <w:shd w:fill="E2E8F0"/>
            <w:tcMar>
              <w:top w:w="100" w:type="dxa"/>
              <w:bottom w:w="100" w:type="dxa"/>
              <w:left w:w="120" w:type="dxa"/>
              <w:right w:w="120" w:type="dxa"/>
            </w:tcMar>
          </w:tcPr>
          <w:p>
            <w:r>
              <w:rPr>
                <w:rFonts w:ascii="Times New Roman" w:hAnsi="Times New Roman"/>
                <w:b/>
                <w:color w:val="000000"/>
                <w:sz w:val="20"/>
              </w:rPr>
              <w:t>Use Case Name</w:t>
            </w:r>
          </w:p>
        </w:tc>
        <w:tc>
          <w:tcPr>
            <w:tcW w:type="dxa" w:w="2340"/>
            <w:shd w:fill="E2E8F0"/>
            <w:tcMar>
              <w:top w:w="100" w:type="dxa"/>
              <w:bottom w:w="100" w:type="dxa"/>
              <w:left w:w="120" w:type="dxa"/>
              <w:right w:w="120" w:type="dxa"/>
            </w:tcMar>
          </w:tcPr>
          <w:p>
            <w:r>
              <w:rPr>
                <w:rFonts w:ascii="Times New Roman" w:hAnsi="Times New Roman"/>
                <w:b/>
                <w:color w:val="000000"/>
                <w:sz w:val="20"/>
              </w:rPr>
              <w:t>Primary Actor</w:t>
            </w:r>
          </w:p>
        </w:tc>
        <w:tc>
          <w:tcPr>
            <w:tcW w:type="dxa" w:w="2340"/>
            <w:shd w:fill="E2E8F0"/>
            <w:tcMar>
              <w:top w:w="100" w:type="dxa"/>
              <w:bottom w:w="100" w:type="dxa"/>
              <w:left w:w="120" w:type="dxa"/>
              <w:right w:w="120" w:type="dxa"/>
            </w:tcMar>
          </w:tcPr>
          <w:p>
            <w:r>
              <w:rPr>
                <w:rFonts w:ascii="Times New Roman" w:hAnsi="Times New Roman"/>
                <w:b/>
                <w:color w:val="000000"/>
                <w:sz w:val="20"/>
              </w:rPr>
              <w:t>Operational Flow &amp; Constraints</w:t>
            </w:r>
          </w:p>
        </w:tc>
      </w:tr>
      <w:tr>
        <w:tc>
          <w:tcPr>
            <w:tcW w:type="dxa" w:w="2340"/>
            <w:tcMar>
              <w:top w:w="70" w:type="dxa"/>
              <w:bottom w:w="70" w:type="dxa"/>
              <w:left w:w="100" w:type="dxa"/>
              <w:right w:w="100" w:type="dxa"/>
            </w:tcMar>
          </w:tcPr>
          <w:p>
            <w:r>
              <w:rPr>
                <w:rFonts w:ascii="Times New Roman" w:hAnsi="Times New Roman"/>
                <w:color w:val="000000"/>
                <w:sz w:val="19"/>
              </w:rPr>
              <w:t>UC-01</w:t>
            </w:r>
          </w:p>
        </w:tc>
        <w:tc>
          <w:tcPr>
            <w:tcW w:type="dxa" w:w="2340"/>
            <w:tcMar>
              <w:top w:w="70" w:type="dxa"/>
              <w:bottom w:w="70" w:type="dxa"/>
              <w:left w:w="100" w:type="dxa"/>
              <w:right w:w="100" w:type="dxa"/>
            </w:tcMar>
          </w:tcPr>
          <w:p>
            <w:r>
              <w:rPr>
                <w:rFonts w:ascii="Times New Roman" w:hAnsi="Times New Roman"/>
                <w:color w:val="000000"/>
                <w:sz w:val="19"/>
              </w:rPr>
              <w:t>User Authentication</w:t>
            </w:r>
          </w:p>
        </w:tc>
        <w:tc>
          <w:tcPr>
            <w:tcW w:type="dxa" w:w="2340"/>
            <w:tcMar>
              <w:top w:w="70" w:type="dxa"/>
              <w:bottom w:w="70" w:type="dxa"/>
              <w:left w:w="100" w:type="dxa"/>
              <w:right w:w="100" w:type="dxa"/>
            </w:tcMar>
          </w:tcPr>
          <w:p>
            <w:r>
              <w:rPr>
                <w:rFonts w:ascii="Times New Roman" w:hAnsi="Times New Roman"/>
                <w:color w:val="000000"/>
                <w:sz w:val="19"/>
              </w:rPr>
              <w:t>All Users</w:t>
            </w:r>
          </w:p>
        </w:tc>
        <w:tc>
          <w:tcPr>
            <w:tcW w:type="dxa" w:w="2340"/>
            <w:tcMar>
              <w:top w:w="70" w:type="dxa"/>
              <w:bottom w:w="70" w:type="dxa"/>
              <w:left w:w="100" w:type="dxa"/>
              <w:right w:w="100" w:type="dxa"/>
            </w:tcMar>
          </w:tcPr>
          <w:p>
            <w:r>
              <w:rPr>
                <w:rFonts w:ascii="Times New Roman" w:hAnsi="Times New Roman"/>
                <w:color w:val="000000"/>
                <w:sz w:val="19"/>
              </w:rPr>
              <w:t>Registration with email/password; secure session login and verification.</w:t>
            </w:r>
          </w:p>
        </w:tc>
      </w:tr>
      <w:tr>
        <w:tc>
          <w:tcPr>
            <w:tcW w:type="dxa" w:w="2340"/>
            <w:shd w:fill="F8FAFC"/>
            <w:tcMar>
              <w:top w:w="70" w:type="dxa"/>
              <w:bottom w:w="70" w:type="dxa"/>
              <w:left w:w="100" w:type="dxa"/>
              <w:right w:w="100" w:type="dxa"/>
            </w:tcMar>
          </w:tcPr>
          <w:p>
            <w:r>
              <w:rPr>
                <w:rFonts w:ascii="Times New Roman" w:hAnsi="Times New Roman"/>
                <w:color w:val="000000"/>
                <w:sz w:val="19"/>
              </w:rPr>
              <w:t>UC-02</w:t>
            </w:r>
          </w:p>
        </w:tc>
        <w:tc>
          <w:tcPr>
            <w:tcW w:type="dxa" w:w="2340"/>
            <w:shd w:fill="F8FAFC"/>
            <w:tcMar>
              <w:top w:w="70" w:type="dxa"/>
              <w:bottom w:w="70" w:type="dxa"/>
              <w:left w:w="100" w:type="dxa"/>
              <w:right w:w="100" w:type="dxa"/>
            </w:tcMar>
          </w:tcPr>
          <w:p>
            <w:r>
              <w:rPr>
                <w:rFonts w:ascii="Times New Roman" w:hAnsi="Times New Roman"/>
                <w:color w:val="000000"/>
                <w:sz w:val="19"/>
              </w:rPr>
              <w:t>List Item with Photo</w:t>
            </w:r>
          </w:p>
        </w:tc>
        <w:tc>
          <w:tcPr>
            <w:tcW w:type="dxa" w:w="2340"/>
            <w:shd w:fill="F8FAFC"/>
            <w:tcMar>
              <w:top w:w="70" w:type="dxa"/>
              <w:bottom w:w="70" w:type="dxa"/>
              <w:left w:w="100" w:type="dxa"/>
              <w:right w:w="100" w:type="dxa"/>
            </w:tcMar>
          </w:tcPr>
          <w:p>
            <w:r>
              <w:rPr>
                <w:rFonts w:ascii="Times New Roman" w:hAnsi="Times New Roman"/>
                <w:color w:val="000000"/>
                <w:sz w:val="19"/>
              </w:rPr>
              <w:t>Resource Owner</w:t>
            </w:r>
          </w:p>
        </w:tc>
        <w:tc>
          <w:tcPr>
            <w:tcW w:type="dxa" w:w="2340"/>
            <w:shd w:fill="F8FAFC"/>
            <w:tcMar>
              <w:top w:w="70" w:type="dxa"/>
              <w:bottom w:w="70" w:type="dxa"/>
              <w:left w:w="100" w:type="dxa"/>
              <w:right w:w="100" w:type="dxa"/>
            </w:tcMar>
          </w:tcPr>
          <w:p>
            <w:r>
              <w:rPr>
                <w:rFonts w:ascii="Times New Roman" w:hAnsi="Times New Roman"/>
                <w:color w:val="000000"/>
                <w:sz w:val="19"/>
              </w:rPr>
              <w:t>Submit item title, category, description, and upload JPEG/PNG image asset.</w:t>
            </w:r>
          </w:p>
        </w:tc>
      </w:tr>
      <w:tr>
        <w:tc>
          <w:tcPr>
            <w:tcW w:type="dxa" w:w="2340"/>
            <w:tcMar>
              <w:top w:w="70" w:type="dxa"/>
              <w:bottom w:w="70" w:type="dxa"/>
              <w:left w:w="100" w:type="dxa"/>
              <w:right w:w="100" w:type="dxa"/>
            </w:tcMar>
          </w:tcPr>
          <w:p>
            <w:r>
              <w:rPr>
                <w:rFonts w:ascii="Times New Roman" w:hAnsi="Times New Roman"/>
                <w:color w:val="000000"/>
                <w:sz w:val="19"/>
              </w:rPr>
              <w:t>UC-03</w:t>
            </w:r>
          </w:p>
        </w:tc>
        <w:tc>
          <w:tcPr>
            <w:tcW w:type="dxa" w:w="2340"/>
            <w:tcMar>
              <w:top w:w="70" w:type="dxa"/>
              <w:bottom w:w="70" w:type="dxa"/>
              <w:left w:w="100" w:type="dxa"/>
              <w:right w:w="100" w:type="dxa"/>
            </w:tcMar>
          </w:tcPr>
          <w:p>
            <w:r>
              <w:rPr>
                <w:rFonts w:ascii="Times New Roman" w:hAnsi="Times New Roman"/>
                <w:color w:val="000000"/>
                <w:sz w:val="19"/>
              </w:rPr>
              <w:t>Search &amp; Filter Catalog</w:t>
            </w:r>
          </w:p>
        </w:tc>
        <w:tc>
          <w:tcPr>
            <w:tcW w:type="dxa" w:w="2340"/>
            <w:tcMar>
              <w:top w:w="70" w:type="dxa"/>
              <w:bottom w:w="70" w:type="dxa"/>
              <w:left w:w="100" w:type="dxa"/>
              <w:right w:w="100" w:type="dxa"/>
            </w:tcMar>
          </w:tcPr>
          <w:p>
            <w:r>
              <w:rPr>
                <w:rFonts w:ascii="Times New Roman" w:hAnsi="Times New Roman"/>
                <w:color w:val="000000"/>
                <w:sz w:val="19"/>
              </w:rPr>
              <w:t>Borrower</w:t>
            </w:r>
          </w:p>
        </w:tc>
        <w:tc>
          <w:tcPr>
            <w:tcW w:type="dxa" w:w="2340"/>
            <w:tcMar>
              <w:top w:w="70" w:type="dxa"/>
              <w:bottom w:w="70" w:type="dxa"/>
              <w:left w:w="100" w:type="dxa"/>
              <w:right w:w="100" w:type="dxa"/>
            </w:tcMar>
          </w:tcPr>
          <w:p>
            <w:r>
              <w:rPr>
                <w:rFonts w:ascii="Times New Roman" w:hAnsi="Times New Roman"/>
                <w:color w:val="000000"/>
                <w:sz w:val="19"/>
              </w:rPr>
              <w:t>Execute live keyword search and filter by category (Tools, Books, Sports, etc.).</w:t>
            </w:r>
          </w:p>
        </w:tc>
      </w:tr>
      <w:tr>
        <w:tc>
          <w:tcPr>
            <w:tcW w:type="dxa" w:w="2340"/>
            <w:shd w:fill="F8FAFC"/>
            <w:tcMar>
              <w:top w:w="70" w:type="dxa"/>
              <w:bottom w:w="70" w:type="dxa"/>
              <w:left w:w="100" w:type="dxa"/>
              <w:right w:w="100" w:type="dxa"/>
            </w:tcMar>
          </w:tcPr>
          <w:p>
            <w:r>
              <w:rPr>
                <w:rFonts w:ascii="Times New Roman" w:hAnsi="Times New Roman"/>
                <w:color w:val="000000"/>
                <w:sz w:val="19"/>
              </w:rPr>
              <w:t>UC-04</w:t>
            </w:r>
          </w:p>
        </w:tc>
        <w:tc>
          <w:tcPr>
            <w:tcW w:type="dxa" w:w="2340"/>
            <w:shd w:fill="F8FAFC"/>
            <w:tcMar>
              <w:top w:w="70" w:type="dxa"/>
              <w:bottom w:w="70" w:type="dxa"/>
              <w:left w:w="100" w:type="dxa"/>
              <w:right w:w="100" w:type="dxa"/>
            </w:tcMar>
          </w:tcPr>
          <w:p>
            <w:r>
              <w:rPr>
                <w:rFonts w:ascii="Times New Roman" w:hAnsi="Times New Roman"/>
                <w:color w:val="000000"/>
                <w:sz w:val="19"/>
              </w:rPr>
              <w:t>Submit Borrow Request</w:t>
            </w:r>
          </w:p>
        </w:tc>
        <w:tc>
          <w:tcPr>
            <w:tcW w:type="dxa" w:w="2340"/>
            <w:shd w:fill="F8FAFC"/>
            <w:tcMar>
              <w:top w:w="70" w:type="dxa"/>
              <w:bottom w:w="70" w:type="dxa"/>
              <w:left w:w="100" w:type="dxa"/>
              <w:right w:w="100" w:type="dxa"/>
            </w:tcMar>
          </w:tcPr>
          <w:p>
            <w:r>
              <w:rPr>
                <w:rFonts w:ascii="Times New Roman" w:hAnsi="Times New Roman"/>
                <w:color w:val="000000"/>
                <w:sz w:val="19"/>
              </w:rPr>
              <w:t>Borrower</w:t>
            </w:r>
          </w:p>
        </w:tc>
        <w:tc>
          <w:tcPr>
            <w:tcW w:type="dxa" w:w="2340"/>
            <w:shd w:fill="F8FAFC"/>
            <w:tcMar>
              <w:top w:w="70" w:type="dxa"/>
              <w:bottom w:w="70" w:type="dxa"/>
              <w:left w:w="100" w:type="dxa"/>
              <w:right w:w="100" w:type="dxa"/>
            </w:tcMar>
          </w:tcPr>
          <w:p>
            <w:r>
              <w:rPr>
                <w:rFonts w:ascii="Times New Roman" w:hAnsi="Times New Roman"/>
                <w:color w:val="000000"/>
                <w:sz w:val="19"/>
              </w:rPr>
              <w:t>Transmit borrow request for available item; system validates owner!=borrower.</w:t>
            </w:r>
          </w:p>
        </w:tc>
      </w:tr>
      <w:tr>
        <w:tc>
          <w:tcPr>
            <w:tcW w:type="dxa" w:w="2340"/>
            <w:tcMar>
              <w:top w:w="70" w:type="dxa"/>
              <w:bottom w:w="70" w:type="dxa"/>
              <w:left w:w="100" w:type="dxa"/>
              <w:right w:w="100" w:type="dxa"/>
            </w:tcMar>
          </w:tcPr>
          <w:p>
            <w:r>
              <w:rPr>
                <w:rFonts w:ascii="Times New Roman" w:hAnsi="Times New Roman"/>
                <w:color w:val="000000"/>
                <w:sz w:val="19"/>
              </w:rPr>
              <w:t>UC-05</w:t>
            </w:r>
          </w:p>
        </w:tc>
        <w:tc>
          <w:tcPr>
            <w:tcW w:type="dxa" w:w="2340"/>
            <w:tcMar>
              <w:top w:w="70" w:type="dxa"/>
              <w:bottom w:w="70" w:type="dxa"/>
              <w:left w:w="100" w:type="dxa"/>
              <w:right w:w="100" w:type="dxa"/>
            </w:tcMar>
          </w:tcPr>
          <w:p>
            <w:r>
              <w:rPr>
                <w:rFonts w:ascii="Times New Roman" w:hAnsi="Times New Roman"/>
                <w:color w:val="000000"/>
                <w:sz w:val="19"/>
              </w:rPr>
              <w:t>Approve/Reject Request</w:t>
            </w:r>
          </w:p>
        </w:tc>
        <w:tc>
          <w:tcPr>
            <w:tcW w:type="dxa" w:w="2340"/>
            <w:tcMar>
              <w:top w:w="70" w:type="dxa"/>
              <w:bottom w:w="70" w:type="dxa"/>
              <w:left w:w="100" w:type="dxa"/>
              <w:right w:w="100" w:type="dxa"/>
            </w:tcMar>
          </w:tcPr>
          <w:p>
            <w:r>
              <w:rPr>
                <w:rFonts w:ascii="Times New Roman" w:hAnsi="Times New Roman"/>
                <w:color w:val="000000"/>
                <w:sz w:val="19"/>
              </w:rPr>
              <w:t>Resource Owner</w:t>
            </w:r>
          </w:p>
        </w:tc>
        <w:tc>
          <w:tcPr>
            <w:tcW w:type="dxa" w:w="2340"/>
            <w:tcMar>
              <w:top w:w="70" w:type="dxa"/>
              <w:bottom w:w="70" w:type="dxa"/>
              <w:left w:w="100" w:type="dxa"/>
              <w:right w:w="100" w:type="dxa"/>
            </w:tcMar>
          </w:tcPr>
          <w:p>
            <w:r>
              <w:rPr>
                <w:rFonts w:ascii="Times New Roman" w:hAnsi="Times New Roman"/>
                <w:color w:val="000000"/>
                <w:sz w:val="19"/>
              </w:rPr>
              <w:t>Owner evaluates request; Approval transitions request to Approved &amp; item to Lent.</w:t>
            </w:r>
          </w:p>
        </w:tc>
      </w:tr>
      <w:tr>
        <w:tc>
          <w:tcPr>
            <w:tcW w:type="dxa" w:w="2340"/>
            <w:shd w:fill="F8FAFC"/>
            <w:tcMar>
              <w:top w:w="70" w:type="dxa"/>
              <w:bottom w:w="70" w:type="dxa"/>
              <w:left w:w="100" w:type="dxa"/>
              <w:right w:w="100" w:type="dxa"/>
            </w:tcMar>
          </w:tcPr>
          <w:p>
            <w:r>
              <w:rPr>
                <w:rFonts w:ascii="Times New Roman" w:hAnsi="Times New Roman"/>
                <w:color w:val="000000"/>
                <w:sz w:val="19"/>
              </w:rPr>
              <w:t>UC-06</w:t>
            </w:r>
          </w:p>
        </w:tc>
        <w:tc>
          <w:tcPr>
            <w:tcW w:type="dxa" w:w="2340"/>
            <w:shd w:fill="F8FAFC"/>
            <w:tcMar>
              <w:top w:w="70" w:type="dxa"/>
              <w:bottom w:w="70" w:type="dxa"/>
              <w:left w:w="100" w:type="dxa"/>
              <w:right w:w="100" w:type="dxa"/>
            </w:tcMar>
          </w:tcPr>
          <w:p>
            <w:r>
              <w:rPr>
                <w:rFonts w:ascii="Times New Roman" w:hAnsi="Times New Roman"/>
                <w:color w:val="000000"/>
                <w:sz w:val="19"/>
              </w:rPr>
              <w:t>Process Return &amp; Log</w:t>
            </w:r>
          </w:p>
        </w:tc>
        <w:tc>
          <w:tcPr>
            <w:tcW w:type="dxa" w:w="2340"/>
            <w:shd w:fill="F8FAFC"/>
            <w:tcMar>
              <w:top w:w="70" w:type="dxa"/>
              <w:bottom w:w="70" w:type="dxa"/>
              <w:left w:w="100" w:type="dxa"/>
              <w:right w:w="100" w:type="dxa"/>
            </w:tcMar>
          </w:tcPr>
          <w:p>
            <w:r>
              <w:rPr>
                <w:rFonts w:ascii="Times New Roman" w:hAnsi="Times New Roman"/>
                <w:color w:val="000000"/>
                <w:sz w:val="19"/>
              </w:rPr>
              <w:t>Borrower / Owner</w:t>
            </w:r>
          </w:p>
        </w:tc>
        <w:tc>
          <w:tcPr>
            <w:tcW w:type="dxa" w:w="2340"/>
            <w:shd w:fill="F8FAFC"/>
            <w:tcMar>
              <w:top w:w="70" w:type="dxa"/>
              <w:bottom w:w="70" w:type="dxa"/>
              <w:left w:w="100" w:type="dxa"/>
              <w:right w:w="100" w:type="dxa"/>
            </w:tcMar>
          </w:tcPr>
          <w:p>
            <w:r>
              <w:rPr>
                <w:rFonts w:ascii="Times New Roman" w:hAnsi="Times New Roman"/>
                <w:color w:val="000000"/>
                <w:sz w:val="19"/>
              </w:rPr>
              <w:t>Borrower clicks return; item restored to Available; transaction permanently archived.</w:t>
            </w:r>
          </w:p>
        </w:tc>
      </w:tr>
    </w:tbl>
    <w:p>
      <w:pPr>
        <w:keepNext/>
        <w:spacing w:before="120" w:after="40" w:line="312" w:lineRule="auto"/>
      </w:pPr>
      <w:r>
        <w:rPr>
          <w:rFonts w:ascii="Times New Roman" w:hAnsi="Times New Roman"/>
          <w:b/>
          <w:color w:val="000000"/>
          <w:sz w:val="24"/>
        </w:rPr>
        <w:t>2.2 State Transition Analysis (Lending Lifecycle)</w:t>
      </w:r>
    </w:p>
    <w:p>
      <w:pPr>
        <w:spacing w:line="360" w:lineRule="auto" w:after="100"/>
        <w:jc w:val="both"/>
      </w:pPr>
      <w:r>
        <w:rPr>
          <w:rFonts w:ascii="Times New Roman" w:hAnsi="Times New Roman"/>
          <w:color w:val="000000"/>
          <w:sz w:val="24"/>
        </w:rPr>
        <w:t>The request lifecycle is governed by an atomic state transition model to prevent double-booking: Initial State (item is Available), Pending State (borrower submits request; duplicate requests from same user blocked), Approved/Lent State (owner approves; item flips to Lent, disabling request button for others), and Returned State (borrower returns item; status flips back to Available and transaction is logged).</w:t>
      </w:r>
    </w:p>
    <w:p>
      <w:pPr>
        <w:keepNext/>
        <w:spacing w:before="200" w:after="40" w:line="312" w:lineRule="auto"/>
      </w:pPr>
      <w:r>
        <w:rPr>
          <w:rFonts w:ascii="Times New Roman" w:hAnsi="Times New Roman"/>
          <w:b/>
          <w:color w:val="000000"/>
          <w:sz w:val="26"/>
        </w:rPr>
        <w:t>3. System-Level Requirements</w:t>
      </w:r>
    </w:p>
    <w:p>
      <w:pPr>
        <w:spacing w:line="360" w:lineRule="auto" w:after="100"/>
        <w:jc w:val="both"/>
      </w:pPr>
      <w:r>
        <w:rPr>
          <w:rFonts w:ascii="Times New Roman" w:hAnsi="Times New Roman"/>
          <w:color w:val="000000"/>
          <w:sz w:val="24"/>
        </w:rPr>
        <w:t>System-level requirements govern infrastructural and deployment constraints:</w:t>
      </w:r>
    </w:p>
    <w:p>
      <w:pPr>
        <w:pStyle w:val="ListBullet"/>
        <w:spacing w:line="360" w:lineRule="auto" w:after="80"/>
        <w:jc w:val="both"/>
      </w:pPr>
      <w:r>
        <w:rPr>
          <w:rFonts w:ascii="Times New Roman" w:hAnsi="Times New Roman"/>
          <w:b/>
          <w:color w:val="000000"/>
          <w:sz w:val="24"/>
        </w:rPr>
        <w:t xml:space="preserve">Cloud Infrastructure: </w:t>
      </w:r>
      <w:r>
        <w:rPr>
          <w:rFonts w:ascii="Times New Roman" w:hAnsi="Times New Roman"/>
          <w:color w:val="000000"/>
          <w:sz w:val="24"/>
        </w:rPr>
        <w:t>Execution within containerized Linux (Render) powered by Gunicorn WSGI workers.</w:t>
      </w:r>
    </w:p>
    <w:p>
      <w:pPr>
        <w:pStyle w:val="ListBullet"/>
        <w:spacing w:line="360" w:lineRule="auto" w:after="80"/>
        <w:jc w:val="both"/>
      </w:pPr>
      <w:r>
        <w:rPr>
          <w:rFonts w:ascii="Times New Roman" w:hAnsi="Times New Roman"/>
          <w:b/>
          <w:color w:val="000000"/>
          <w:sz w:val="24"/>
        </w:rPr>
        <w:t xml:space="preserve">Cloud Database Protocol: </w:t>
      </w:r>
      <w:r>
        <w:rPr>
          <w:rFonts w:ascii="Times New Roman" w:hAnsi="Times New Roman"/>
          <w:color w:val="000000"/>
          <w:sz w:val="24"/>
        </w:rPr>
        <w:t>Distributed MySQL connectivity (TiDB Serverless) over port 4000 secured with TLS 1.2/1.3.</w:t>
      </w:r>
    </w:p>
    <w:p>
      <w:pPr>
        <w:pStyle w:val="ListBullet"/>
        <w:spacing w:line="360" w:lineRule="auto" w:after="80"/>
        <w:jc w:val="both"/>
      </w:pPr>
      <w:r>
        <w:rPr>
          <w:rFonts w:ascii="Times New Roman" w:hAnsi="Times New Roman"/>
          <w:b/>
          <w:color w:val="000000"/>
          <w:sz w:val="24"/>
        </w:rPr>
        <w:t xml:space="preserve">Stateless API Design: </w:t>
      </w:r>
      <w:r>
        <w:rPr>
          <w:rFonts w:ascii="Times New Roman" w:hAnsi="Times New Roman"/>
          <w:color w:val="000000"/>
          <w:sz w:val="24"/>
        </w:rPr>
        <w:t>CORS-enabled REST controllers processing JSON payloads for web and native mobile clients.</w:t>
      </w:r>
    </w:p>
    <w:p>
      <w:pPr>
        <w:pStyle w:val="ListBullet"/>
        <w:spacing w:line="360" w:lineRule="auto" w:after="80"/>
        <w:jc w:val="both"/>
      </w:pPr>
      <w:r>
        <w:rPr>
          <w:rFonts w:ascii="Times New Roman" w:hAnsi="Times New Roman"/>
          <w:b/>
          <w:color w:val="000000"/>
          <w:sz w:val="24"/>
        </w:rPr>
        <w:t xml:space="preserve">Media File Storage: </w:t>
      </w:r>
      <w:r>
        <w:rPr>
          <w:rFonts w:ascii="Times New Roman" w:hAnsi="Times New Roman"/>
          <w:color w:val="000000"/>
          <w:sz w:val="24"/>
        </w:rPr>
        <w:t>Dedicated server-side uploads directory with cryptographic UUID filename isolation to prevent overwrite collisions.</w:t>
      </w:r>
    </w:p>
    <w:p>
      <w:pPr>
        <w:keepNext/>
        <w:spacing w:before="200" w:after="40" w:line="312" w:lineRule="auto"/>
      </w:pPr>
      <w:r>
        <w:rPr>
          <w:rFonts w:ascii="Times New Roman" w:hAnsi="Times New Roman"/>
          <w:b/>
          <w:color w:val="000000"/>
          <w:sz w:val="26"/>
        </w:rPr>
        <w:t>4. Software-Level Requirements (SRS)</w:t>
      </w:r>
    </w:p>
    <w:p>
      <w:pPr>
        <w:keepNext/>
        <w:spacing w:before="120" w:after="40" w:line="312" w:lineRule="auto"/>
      </w:pPr>
      <w:r>
        <w:rPr>
          <w:rFonts w:ascii="Times New Roman" w:hAnsi="Times New Roman"/>
          <w:b/>
          <w:color w:val="000000"/>
          <w:sz w:val="24"/>
        </w:rPr>
        <w:t>4.1 Functional Requirements Specification (FRS)</w:t>
      </w:r>
    </w:p>
    <w:p>
      <w:pPr>
        <w:pStyle w:val="ListBullet"/>
        <w:spacing w:line="360" w:lineRule="auto" w:after="80"/>
        <w:jc w:val="both"/>
      </w:pPr>
      <w:r>
        <w:rPr>
          <w:rFonts w:ascii="Times New Roman" w:hAnsi="Times New Roman"/>
          <w:b/>
          <w:color w:val="000000"/>
          <w:sz w:val="24"/>
        </w:rPr>
        <w:t xml:space="preserve">FR-01 (Account Management): </w:t>
      </w:r>
      <w:r>
        <w:rPr>
          <w:rFonts w:ascii="Times New Roman" w:hAnsi="Times New Roman"/>
          <w:color w:val="000000"/>
          <w:sz w:val="24"/>
        </w:rPr>
        <w:t>User registration with unique email, contact phone, full name, and salted cryptographic password hashing.</w:t>
      </w:r>
    </w:p>
    <w:p>
      <w:pPr>
        <w:pStyle w:val="ListBullet"/>
        <w:spacing w:line="360" w:lineRule="auto" w:after="80"/>
        <w:jc w:val="both"/>
      </w:pPr>
      <w:r>
        <w:rPr>
          <w:rFonts w:ascii="Times New Roman" w:hAnsi="Times New Roman"/>
          <w:b/>
          <w:color w:val="000000"/>
          <w:sz w:val="24"/>
        </w:rPr>
        <w:t xml:space="preserve">FR-02 (Catalog &amp; Upload Engine): </w:t>
      </w:r>
      <w:r>
        <w:rPr>
          <w:rFonts w:ascii="Times New Roman" w:hAnsi="Times New Roman"/>
          <w:color w:val="000000"/>
          <w:sz w:val="24"/>
        </w:rPr>
        <w:t>Listing creation with category classification, usage description, and photo upload (PNG, JPG, JPEG, WEBP; max 5MB).</w:t>
      </w:r>
    </w:p>
    <w:p>
      <w:pPr>
        <w:pStyle w:val="ListBullet"/>
        <w:spacing w:line="360" w:lineRule="auto" w:after="80"/>
        <w:jc w:val="both"/>
      </w:pPr>
      <w:r>
        <w:rPr>
          <w:rFonts w:ascii="Times New Roman" w:hAnsi="Times New Roman"/>
          <w:b/>
          <w:color w:val="000000"/>
          <w:sz w:val="24"/>
        </w:rPr>
        <w:t xml:space="preserve">FR-03 (Discovery Engine): </w:t>
      </w:r>
      <w:r>
        <w:rPr>
          <w:rFonts w:ascii="Times New Roman" w:hAnsi="Times New Roman"/>
          <w:color w:val="000000"/>
          <w:sz w:val="24"/>
        </w:rPr>
        <w:t>Real-time search matching substrings across titles and descriptions, combinable with category filters.</w:t>
      </w:r>
    </w:p>
    <w:p>
      <w:pPr>
        <w:pStyle w:val="ListBullet"/>
        <w:spacing w:line="360" w:lineRule="auto" w:after="80"/>
        <w:jc w:val="both"/>
      </w:pPr>
      <w:r>
        <w:rPr>
          <w:rFonts w:ascii="Times New Roman" w:hAnsi="Times New Roman"/>
          <w:b/>
          <w:color w:val="000000"/>
          <w:sz w:val="24"/>
        </w:rPr>
        <w:t xml:space="preserve">FR-04 (Lending Workflow): </w:t>
      </w:r>
      <w:r>
        <w:rPr>
          <w:rFonts w:ascii="Times New Roman" w:hAnsi="Times New Roman"/>
          <w:color w:val="000000"/>
          <w:sz w:val="24"/>
        </w:rPr>
        <w:t>Automated request submission, owner approval/rejection, and borrower return handling with atomic status updates.</w:t>
      </w:r>
    </w:p>
    <w:p>
      <w:pPr>
        <w:pStyle w:val="ListBullet"/>
        <w:spacing w:line="360" w:lineRule="auto" w:after="80"/>
        <w:jc w:val="both"/>
      </w:pPr>
      <w:r>
        <w:rPr>
          <w:rFonts w:ascii="Times New Roman" w:hAnsi="Times New Roman"/>
          <w:b/>
          <w:color w:val="000000"/>
          <w:sz w:val="24"/>
        </w:rPr>
        <w:t xml:space="preserve">FR-05 (Audit Trail): </w:t>
      </w:r>
      <w:r>
        <w:rPr>
          <w:rFonts w:ascii="Times New Roman" w:hAnsi="Times New Roman"/>
          <w:color w:val="000000"/>
          <w:sz w:val="24"/>
        </w:rPr>
        <w:t>Permanent logging of completed lending transactions with dates, item names, and partner details.</w:t>
      </w:r>
    </w:p>
    <w:p>
      <w:pPr>
        <w:keepNext/>
        <w:spacing w:before="120" w:after="40" w:line="312" w:lineRule="auto"/>
      </w:pPr>
      <w:r>
        <w:rPr>
          <w:rFonts w:ascii="Times New Roman" w:hAnsi="Times New Roman"/>
          <w:b/>
          <w:color w:val="000000"/>
          <w:sz w:val="24"/>
        </w:rPr>
        <w:t>4.2 Non-Functional Requirements Specification (NFRS)</w:t>
      </w:r>
    </w:p>
    <w:p>
      <w:pPr>
        <w:pStyle w:val="ListBullet"/>
        <w:spacing w:line="360" w:lineRule="auto" w:after="80"/>
        <w:jc w:val="both"/>
      </w:pPr>
      <w:r>
        <w:rPr>
          <w:rFonts w:ascii="Times New Roman" w:hAnsi="Times New Roman"/>
          <w:b/>
          <w:color w:val="000000"/>
          <w:sz w:val="24"/>
        </w:rPr>
        <w:t xml:space="preserve">NFR-01 (Security): </w:t>
      </w:r>
      <w:r>
        <w:rPr>
          <w:rFonts w:ascii="Times New Roman" w:hAnsi="Times New Roman"/>
          <w:color w:val="000000"/>
          <w:sz w:val="24"/>
        </w:rPr>
        <w:t>PBKDF2-HMAC-SHA256 password hashing; 100% parameterized SQL queries to eliminate SQL injection; escaping of HTML outputs to neutralize XSS.</w:t>
      </w:r>
    </w:p>
    <w:p>
      <w:pPr>
        <w:pStyle w:val="ListBullet"/>
        <w:spacing w:line="360" w:lineRule="auto" w:after="80"/>
        <w:jc w:val="both"/>
      </w:pPr>
      <w:r>
        <w:rPr>
          <w:rFonts w:ascii="Times New Roman" w:hAnsi="Times New Roman"/>
          <w:b/>
          <w:color w:val="000000"/>
          <w:sz w:val="24"/>
        </w:rPr>
        <w:t xml:space="preserve">NFR-02 (Performance &amp; Latency): </w:t>
      </w:r>
      <w:r>
        <w:rPr>
          <w:rFonts w:ascii="Times New Roman" w:hAnsi="Times New Roman"/>
          <w:color w:val="000000"/>
          <w:sz w:val="24"/>
        </w:rPr>
        <w:t>Sub-350ms query response latency; static CSS/asset caching; database indexing on foreign keys.</w:t>
      </w:r>
    </w:p>
    <w:p>
      <w:pPr>
        <w:pStyle w:val="ListBullet"/>
        <w:spacing w:line="360" w:lineRule="auto" w:after="80"/>
        <w:jc w:val="both"/>
      </w:pPr>
      <w:r>
        <w:rPr>
          <w:rFonts w:ascii="Times New Roman" w:hAnsi="Times New Roman"/>
          <w:b/>
          <w:color w:val="000000"/>
          <w:sz w:val="24"/>
        </w:rPr>
        <w:t xml:space="preserve">NFR-03 (Reliability &amp; Recovery): </w:t>
      </w:r>
      <w:r>
        <w:rPr>
          <w:rFonts w:ascii="Times New Roman" w:hAnsi="Times New Roman"/>
          <w:color w:val="000000"/>
          <w:sz w:val="24"/>
        </w:rPr>
        <w:t>Automated database connection recovery with dynamic Linux SSL certificate detection.</w:t>
      </w:r>
    </w:p>
    <w:p>
      <w:pPr>
        <w:pStyle w:val="ListBullet"/>
        <w:spacing w:line="360" w:lineRule="auto" w:after="80"/>
        <w:jc w:val="both"/>
      </w:pPr>
      <w:r>
        <w:rPr>
          <w:rFonts w:ascii="Times New Roman" w:hAnsi="Times New Roman"/>
          <w:b/>
          <w:color w:val="000000"/>
          <w:sz w:val="24"/>
        </w:rPr>
        <w:t xml:space="preserve">NFR-04 (Responsive Usability): </w:t>
      </w:r>
      <w:r>
        <w:rPr>
          <w:rFonts w:ascii="Times New Roman" w:hAnsi="Times New Roman"/>
          <w:color w:val="000000"/>
          <w:sz w:val="24"/>
        </w:rPr>
        <w:t>Modern mobile-first responsive layout complying with WCAG contrast standards across all viewports.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000000"/>
        <w:sz w:val="18"/>
      </w:rPr>
      <w:t>First Review Report — Analysis and Requirements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