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Times New Roman" w:hAnsi="Times New Roman"/>
          <w:b/>
          <w:color w:val="000000"/>
          <w:sz w:val="36"/>
        </w:rPr>
        <w:t>PROBLEM DESCRIPTION / MODULES DESCRIPTION</w:t>
      </w:r>
    </w:p>
    <w:p>
      <w:pPr>
        <w:spacing w:before="0" w:after="200" w:line="276" w:lineRule="auto"/>
        <w:jc w:val="left"/>
      </w:pPr>
      <w:r>
        <w:rPr>
          <w:rFonts w:ascii="Times New Roman" w:hAnsi="Times New Roman"/>
          <w:i/>
          <w:color w:val="000000"/>
          <w:sz w:val="22"/>
        </w:rPr>
        <w:t>Project Work: Community Lending Platform for Sharing and Borrowing Household Resources</w:t>
      </w:r>
    </w:p>
    <w:p>
      <w:pPr>
        <w:keepNext/>
        <w:spacing w:before="200" w:after="40" w:line="312" w:lineRule="auto"/>
      </w:pPr>
      <w:r>
        <w:rPr>
          <w:rFonts w:ascii="Times New Roman" w:hAnsi="Times New Roman"/>
          <w:b/>
          <w:color w:val="000000"/>
          <w:sz w:val="26"/>
        </w:rPr>
        <w:t>1. Architecture Decomposition &amp; Modular Overview</w:t>
      </w:r>
    </w:p>
    <w:p>
      <w:pPr>
        <w:spacing w:line="360" w:lineRule="auto" w:after="100"/>
        <w:jc w:val="both"/>
      </w:pPr>
      <w:r>
        <w:rPr>
          <w:rFonts w:ascii="Times New Roman" w:hAnsi="Times New Roman"/>
          <w:color w:val="000000"/>
          <w:sz w:val="24"/>
        </w:rPr>
        <w:t>The Community Lending Platform is engineered following a modular, decoupled architecture adhering to the Model-View-Controller (MVC) and REST service design patterns. Decomposition into distinct functional modules guarantees high cohesion, loose coupling, maintainability, and horizontal scalability. The platform is organized into five core operational modules:</w:t>
      </w:r>
    </w:p>
    <w:p>
      <w:pPr>
        <w:keepNext/>
        <w:spacing w:before="200" w:after="40" w:line="312" w:lineRule="auto"/>
      </w:pPr>
      <w:r>
        <w:rPr>
          <w:rFonts w:ascii="Times New Roman" w:hAnsi="Times New Roman"/>
          <w:b/>
          <w:color w:val="000000"/>
          <w:sz w:val="26"/>
        </w:rPr>
        <w:t>2. Detailed Work Involved in System Modules</w:t>
      </w:r>
    </w:p>
    <w:p>
      <w:pPr>
        <w:keepNext/>
        <w:spacing w:before="120" w:after="40" w:line="312" w:lineRule="auto"/>
      </w:pPr>
      <w:r>
        <w:rPr>
          <w:rFonts w:ascii="Times New Roman" w:hAnsi="Times New Roman"/>
          <w:b/>
          <w:color w:val="000000"/>
          <w:sz w:val="24"/>
        </w:rPr>
        <w:t>2.1 Module 1: User Authentication &amp; Profile Security Module</w:t>
      </w:r>
    </w:p>
    <w:p>
      <w:pPr>
        <w:spacing w:line="360" w:lineRule="auto" w:after="100"/>
        <w:jc w:val="both"/>
      </w:pPr>
      <w:r>
        <w:rPr>
          <w:rFonts w:ascii="Times New Roman" w:hAnsi="Times New Roman"/>
          <w:b/>
          <w:color w:val="000000"/>
          <w:sz w:val="24"/>
        </w:rPr>
        <w:t xml:space="preserve">Description: </w:t>
      </w:r>
      <w:r>
        <w:rPr>
          <w:rFonts w:ascii="Times New Roman" w:hAnsi="Times New Roman"/>
          <w:color w:val="000000"/>
          <w:sz w:val="24"/>
        </w:rPr>
        <w:t>This module establishes the identity and security perimeter of the platform. Members register by submitting their full name, email, phone number, and password. Field validation ensures format correctness and email uniqueness. Passwords undergo cryptographic one-way hashing using PBKDF2 with HMAC-SHA256 and salted key derivation. Authenticated logins generate cryptographically signed HTTP cookie sessions. Access-control middleware intercepts unauthorized visits to protected endpoints (/dashboard, /add-item, /requests), automatically redirecting users to the login portal with flash notifications.</w:t>
      </w:r>
    </w:p>
    <w:p>
      <w:pPr>
        <w:pStyle w:val="ListBullet"/>
        <w:spacing w:line="360" w:lineRule="auto" w:after="80"/>
        <w:jc w:val="both"/>
      </w:pPr>
      <w:r>
        <w:rPr>
          <w:rFonts w:ascii="Times New Roman" w:hAnsi="Times New Roman"/>
          <w:b/>
          <w:color w:val="000000"/>
          <w:sz w:val="24"/>
        </w:rPr>
        <w:t xml:space="preserve">Database Entity &amp; Functions: </w:t>
      </w:r>
      <w:r>
        <w:rPr>
          <w:rFonts w:ascii="Times New Roman" w:hAnsi="Times New Roman"/>
          <w:color w:val="000000"/>
          <w:sz w:val="24"/>
        </w:rPr>
        <w:t>users table (id, name, email, password, phone); login(), register(), logout(), profile().</w:t>
      </w:r>
    </w:p>
    <w:p>
      <w:pPr>
        <w:keepNext/>
        <w:spacing w:before="120" w:after="40" w:line="312" w:lineRule="auto"/>
      </w:pPr>
      <w:r>
        <w:rPr>
          <w:rFonts w:ascii="Times New Roman" w:hAnsi="Times New Roman"/>
          <w:b/>
          <w:color w:val="000000"/>
          <w:sz w:val="24"/>
        </w:rPr>
        <w:t>2.2 Module 2: Item Inventory &amp; Photographic Asset Management Module</w:t>
      </w:r>
    </w:p>
    <w:p>
      <w:pPr>
        <w:spacing w:line="360" w:lineRule="auto" w:after="100"/>
        <w:jc w:val="both"/>
      </w:pPr>
      <w:r>
        <w:rPr>
          <w:rFonts w:ascii="Times New Roman" w:hAnsi="Times New Roman"/>
          <w:b/>
          <w:color w:val="000000"/>
          <w:sz w:val="24"/>
        </w:rPr>
        <w:t xml:space="preserve">Description: </w:t>
      </w:r>
      <w:r>
        <w:rPr>
          <w:rFonts w:ascii="Times New Roman" w:hAnsi="Times New Roman"/>
          <w:color w:val="000000"/>
          <w:sz w:val="24"/>
        </w:rPr>
        <w:t>This module empowers verified residents to digitize and manage the physical items they offer for community sharing. Item listings include item title, category classification (Tools, Books, Sports, Electronics, Household, Other), usage description, and photo attachments. The multipart upload engine validates file extensions against a strict whitelist (PNG, JPG, JPEG, WEBP) and enforces a 5MB size ceiling. To eliminate filename overwrite collisions, each image is prefixed with a 32-character hexadecimal UUID before storage in the /static/uploads/ directory. The module also performs automatic orphan-media deletion whenever items are edited or removed.</w:t>
      </w:r>
    </w:p>
    <w:p>
      <w:pPr>
        <w:pStyle w:val="ListBullet"/>
        <w:spacing w:line="360" w:lineRule="auto" w:after="80"/>
        <w:jc w:val="both"/>
      </w:pPr>
      <w:r>
        <w:rPr>
          <w:rFonts w:ascii="Times New Roman" w:hAnsi="Times New Roman"/>
          <w:b/>
          <w:color w:val="000000"/>
          <w:sz w:val="24"/>
        </w:rPr>
        <w:t xml:space="preserve">Database Entity &amp; Functions: </w:t>
      </w:r>
      <w:r>
        <w:rPr>
          <w:rFonts w:ascii="Times New Roman" w:hAnsi="Times New Roman"/>
          <w:color w:val="000000"/>
          <w:sz w:val="24"/>
        </w:rPr>
        <w:t>items table (id, owner_id, item_name, category, description, image, availability); add_item(), edit_item(), delete_item(), save_item_image().</w:t>
      </w:r>
    </w:p>
    <w:p>
      <w:pPr>
        <w:keepNext/>
        <w:spacing w:before="120" w:after="40" w:line="312" w:lineRule="auto"/>
      </w:pPr>
      <w:r>
        <w:rPr>
          <w:rFonts w:ascii="Times New Roman" w:hAnsi="Times New Roman"/>
          <w:b/>
          <w:color w:val="000000"/>
          <w:sz w:val="24"/>
        </w:rPr>
        <w:t>2.3 Module 3: Discovery, Search &amp; Category Filter Module</w:t>
      </w:r>
    </w:p>
    <w:p>
      <w:pPr>
        <w:spacing w:line="360" w:lineRule="auto" w:after="100"/>
        <w:jc w:val="both"/>
      </w:pPr>
      <w:r>
        <w:rPr>
          <w:rFonts w:ascii="Times New Roman" w:hAnsi="Times New Roman"/>
          <w:b/>
          <w:color w:val="000000"/>
          <w:sz w:val="24"/>
        </w:rPr>
        <w:t xml:space="preserve">Description: </w:t>
      </w:r>
      <w:r>
        <w:rPr>
          <w:rFonts w:ascii="Times New Roman" w:hAnsi="Times New Roman"/>
          <w:color w:val="000000"/>
          <w:sz w:val="24"/>
        </w:rPr>
        <w:t>The Discovery Module facilitates rapid resource retrieval, allowing residents to locate required tools or gear effortlessly. The interface features a live search bar and category selector chips. Search queries execute parameterized SQL statements using LIKE '%query%' pattern matching across item names and descriptions. Parameterized tuple binding ensures complete immunity against SQL injection attacks. Query results are joined with owner contact records and rendered into responsive cards displaying high-contrast availability chips ('Available' in Emerald green, 'Lent' in Amber).</w:t>
      </w:r>
    </w:p>
    <w:p>
      <w:pPr>
        <w:pStyle w:val="ListBullet"/>
        <w:spacing w:line="360" w:lineRule="auto" w:after="80"/>
        <w:jc w:val="both"/>
      </w:pPr>
      <w:r>
        <w:rPr>
          <w:rFonts w:ascii="Times New Roman" w:hAnsi="Times New Roman"/>
          <w:b/>
          <w:color w:val="000000"/>
          <w:sz w:val="24"/>
        </w:rPr>
        <w:t xml:space="preserve">Database Entity &amp; Functions: </w:t>
      </w:r>
      <w:r>
        <w:rPr>
          <w:rFonts w:ascii="Times New Roman" w:hAnsi="Times New Roman"/>
          <w:color w:val="000000"/>
          <w:sz w:val="24"/>
        </w:rPr>
        <w:t>items, users tables (JOIN on owner_id); browse(), item_details(), dynamic_query_builder().</w:t>
      </w:r>
    </w:p>
    <w:p>
      <w:pPr>
        <w:keepNext/>
        <w:spacing w:before="120" w:after="40" w:line="312" w:lineRule="auto"/>
      </w:pPr>
      <w:r>
        <w:rPr>
          <w:rFonts w:ascii="Times New Roman" w:hAnsi="Times New Roman"/>
          <w:b/>
          <w:color w:val="000000"/>
          <w:sz w:val="24"/>
        </w:rPr>
        <w:t>2.4 Module 4: Lending Workflow &amp; State Transition Module</w:t>
      </w:r>
    </w:p>
    <w:p>
      <w:pPr>
        <w:spacing w:line="360" w:lineRule="auto" w:after="100"/>
        <w:jc w:val="both"/>
      </w:pPr>
      <w:r>
        <w:rPr>
          <w:rFonts w:ascii="Times New Roman" w:hAnsi="Times New Roman"/>
          <w:b/>
          <w:color w:val="000000"/>
          <w:sz w:val="24"/>
        </w:rPr>
        <w:t xml:space="preserve">Description: </w:t>
      </w:r>
      <w:r>
        <w:rPr>
          <w:rFonts w:ascii="Times New Roman" w:hAnsi="Times New Roman"/>
          <w:color w:val="000000"/>
          <w:sz w:val="24"/>
        </w:rPr>
        <w:t>The Lending Workflow Module serves as the operational engine, governing the complete lifecycle of borrow requests, approvals, and returns. When a borrower requests an item, the system verifies that the borrower is not the owner (preventing self-borrowing) and that the item is currently 'Available'. A request record is generated with status = 'Pending'. The owner's dashboard displays the pending request alongside borrower contact details. Upon owner approval, an atomic database transaction updates the request to 'Approved' and flips item availability to 'Lent', disabling borrow buttons for other users. When the item is returned, the request transitions to 'Returned', item status resets to 'Available', and the loan is permanently logged in the transaction ledger.</w:t>
      </w:r>
    </w:p>
    <w:p>
      <w:pPr>
        <w:pStyle w:val="ListBullet"/>
        <w:spacing w:line="360" w:lineRule="auto" w:after="80"/>
        <w:jc w:val="both"/>
      </w:pPr>
      <w:r>
        <w:rPr>
          <w:rFonts w:ascii="Times New Roman" w:hAnsi="Times New Roman"/>
          <w:b/>
          <w:color w:val="000000"/>
          <w:sz w:val="24"/>
        </w:rPr>
        <w:t xml:space="preserve">Database Entity &amp; Functions: </w:t>
      </w:r>
      <w:r>
        <w:rPr>
          <w:rFonts w:ascii="Times New Roman" w:hAnsi="Times New Roman"/>
          <w:color w:val="000000"/>
          <w:sz w:val="24"/>
        </w:rPr>
        <w:t>lending_requests table (id, item_id, borrower_id, owner_id, status); request_item(), approve_request(), reject_request(), return_item(), transactions().</w:t>
      </w:r>
    </w:p>
    <w:p>
      <w:pPr>
        <w:keepNext/>
        <w:spacing w:before="120" w:after="40" w:line="312" w:lineRule="auto"/>
      </w:pPr>
      <w:r>
        <w:rPr>
          <w:rFonts w:ascii="Times New Roman" w:hAnsi="Times New Roman"/>
          <w:b/>
          <w:color w:val="000000"/>
          <w:sz w:val="24"/>
        </w:rPr>
        <w:t>2.5 Module 5: Cloud Infrastructure &amp; REST API Service Module</w:t>
      </w:r>
    </w:p>
    <w:p>
      <w:pPr>
        <w:spacing w:line="360" w:lineRule="auto" w:after="100"/>
        <w:jc w:val="both"/>
      </w:pPr>
      <w:r>
        <w:rPr>
          <w:rFonts w:ascii="Times New Roman" w:hAnsi="Times New Roman"/>
          <w:b/>
          <w:color w:val="000000"/>
          <w:sz w:val="24"/>
        </w:rPr>
        <w:t xml:space="preserve">Description: </w:t>
      </w:r>
      <w:r>
        <w:rPr>
          <w:rFonts w:ascii="Times New Roman" w:hAnsi="Times New Roman"/>
          <w:color w:val="000000"/>
          <w:sz w:val="24"/>
        </w:rPr>
        <w:t>This module manages cloud-native persistence, high availability, and multi-client connectivity. Configured for production WSGI execution via Gunicorn on Render, it interfaces with a distributed TiDB Serverless Cloud MySQL database over TLS 1.2/1.3 encryption, dynamically detecting Linux SSL CA certificate bundles. Furthermore, the module exposes a suite of CORS-enabled REST API endpoints (/api/auth/login, /api/dashboard, /api/items, /api/requests/*) returning standard JSON payloads. This decoupled API layer enables the system to seamlessly power cross-platform client extensions, including the accompanying React Native / Expo mobile application.</w:t>
      </w:r>
    </w:p>
    <w:p>
      <w:pPr>
        <w:pStyle w:val="ListBullet"/>
        <w:spacing w:line="360" w:lineRule="auto" w:after="80"/>
        <w:jc w:val="both"/>
      </w:pPr>
      <w:r>
        <w:rPr>
          <w:rFonts w:ascii="Times New Roman" w:hAnsi="Times New Roman"/>
          <w:b/>
          <w:color w:val="000000"/>
          <w:sz w:val="24"/>
        </w:rPr>
        <w:t xml:space="preserve">Database Entity &amp; Endpoints: </w:t>
      </w:r>
      <w:r>
        <w:rPr>
          <w:rFonts w:ascii="Times New Roman" w:hAnsi="Times New Roman"/>
          <w:color w:val="000000"/>
          <w:sz w:val="24"/>
        </w:rPr>
        <w:t>Automated database schema bootstrapping; api_login(), api_get_items(), api_add_item(), api_approve_request(), api_return_item().</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18"/>
      </w:rPr>
      <w:t>First Review Report — Problem &amp; Modules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