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2"/>
        </w:rPr>
        <w:t>3. TESTING APPROACH, PLANS AND TEST RESULTS</w:t>
      </w:r>
    </w:p>
    <w:p>
      <w:pPr>
        <w:spacing w:before="0" w:after="200" w:line="276" w:lineRule="auto"/>
        <w:jc w:val="left"/>
      </w:pPr>
      <w:r>
        <w:rPr>
          <w:rFonts w:ascii="Times New Roman" w:hAnsi="Times New Roman"/>
          <w:i/>
          <w:color w:val="000000"/>
          <w:sz w:val="22"/>
        </w:rPr>
        <w:t>Project Work: Community Lending Platform for Sharing and Borrowing Household Resources — Second Review</w:t>
      </w:r>
    </w:p>
    <w:p>
      <w:pPr>
        <w:keepNext/>
        <w:spacing w:before="200" w:after="60" w:line="288" w:lineRule="auto"/>
      </w:pPr>
      <w:r>
        <w:rPr>
          <w:rFonts w:ascii="Times New Roman" w:hAnsi="Times New Roman"/>
          <w:b/>
          <w:color w:val="000000"/>
          <w:sz w:val="28"/>
        </w:rPr>
        <w:t>1. Testing Approach and Strategy</w:t>
      </w:r>
    </w:p>
    <w:p>
      <w:pPr>
        <w:spacing w:line="360" w:lineRule="auto" w:after="80"/>
        <w:jc w:val="both"/>
      </w:pPr>
      <w:r>
        <w:rPr>
          <w:rFonts w:ascii="Times New Roman" w:hAnsi="Times New Roman"/>
          <w:color w:val="000000"/>
          <w:sz w:val="24"/>
        </w:rPr>
        <w:t>Testing ensures the Community Lending Platform is reliable, secure, and user-friendly. The testing strategy follows the standard software engineering V-Model, connecting each stage of development with a corresponding testing phase. This structure allows defects to be caught early in development rather than late in production.</w:t>
      </w:r>
    </w:p>
    <w:p>
      <w:pPr>
        <w:keepNext/>
        <w:spacing w:before="160" w:after="60"/>
        <w:jc w:val="center"/>
      </w:pPr>
      <w:r>
        <w:drawing>
          <wp:inline xmlns:a="http://schemas.openxmlformats.org/drawingml/2006/main" xmlns:pic="http://schemas.openxmlformats.org/drawingml/2006/picture">
            <wp:extent cx="3474720" cy="1634648"/>
            <wp:docPr id="1" name="Picture 1"/>
            <wp:cNvGraphicFramePr>
              <a:graphicFrameLocks noChangeAspect="1"/>
            </wp:cNvGraphicFramePr>
            <a:graphic>
              <a:graphicData uri="http://schemas.openxmlformats.org/drawingml/2006/picture">
                <pic:pic>
                  <pic:nvPicPr>
                    <pic:cNvPr id="0" name="fig8_v_model.png"/>
                    <pic:cNvPicPr/>
                  </pic:nvPicPr>
                  <pic:blipFill>
                    <a:blip r:embed="rId10"/>
                    <a:stretch>
                      <a:fillRect/>
                    </a:stretch>
                  </pic:blipFill>
                  <pic:spPr>
                    <a:xfrm>
                      <a:off x="0" y="0"/>
                      <a:ext cx="3474720" cy="1634648"/>
                    </a:xfrm>
                    <a:prstGeom prst="rect"/>
                  </pic:spPr>
                </pic:pic>
              </a:graphicData>
            </a:graphic>
          </wp:inline>
        </w:drawing>
      </w:r>
    </w:p>
    <w:p>
      <w:pPr>
        <w:keepNext/>
        <w:spacing w:before="0" w:after="160"/>
        <w:jc w:val="center"/>
      </w:pPr>
      <w:r>
        <w:rPr>
          <w:rFonts w:ascii="Times New Roman" w:hAnsi="Times New Roman"/>
          <w:b/>
          <w:color w:val="000000"/>
          <w:sz w:val="20"/>
        </w:rPr>
        <w:t>Figure 8: V-Model Verification and Validation Lifecycle</w:t>
      </w:r>
    </w:p>
    <w:p>
      <w:pPr>
        <w:keepNext/>
        <w:spacing w:before="140" w:after="40" w:line="288" w:lineRule="auto"/>
      </w:pPr>
      <w:r>
        <w:rPr>
          <w:rFonts w:ascii="Times New Roman" w:hAnsi="Times New Roman"/>
          <w:b/>
          <w:color w:val="000000"/>
          <w:sz w:val="26"/>
        </w:rPr>
        <w:t>1.1 The Four Progressive Levels of Testing</w:t>
      </w:r>
    </w:p>
    <w:p>
      <w:pPr>
        <w:pStyle w:val="ListBullet"/>
        <w:spacing w:line="360" w:lineRule="auto" w:after="60"/>
        <w:jc w:val="both"/>
      </w:pPr>
      <w:r>
        <w:rPr>
          <w:rFonts w:ascii="Times New Roman" w:hAnsi="Times New Roman"/>
          <w:b/>
          <w:color w:val="000000"/>
          <w:sz w:val="24"/>
        </w:rPr>
        <w:t xml:space="preserve">01 Unit Testing: </w:t>
      </w:r>
      <w:r>
        <w:rPr>
          <w:rFonts w:ascii="Times New Roman" w:hAnsi="Times New Roman"/>
          <w:color w:val="000000"/>
          <w:sz w:val="24"/>
        </w:rPr>
        <w:t>Focuses on individual functions and modules in isolation. Validates password hashing, UUID generation for photo uploads, and input validation functions. Target: &gt;=80% code coverage.</w:t>
      </w:r>
    </w:p>
    <w:p>
      <w:pPr>
        <w:pStyle w:val="ListBullet"/>
        <w:spacing w:line="360" w:lineRule="auto" w:after="60"/>
        <w:jc w:val="both"/>
      </w:pPr>
      <w:r>
        <w:rPr>
          <w:rFonts w:ascii="Times New Roman" w:hAnsi="Times New Roman"/>
          <w:b/>
          <w:color w:val="000000"/>
          <w:sz w:val="24"/>
        </w:rPr>
        <w:t xml:space="preserve">02 Integration Testing: </w:t>
      </w:r>
      <w:r>
        <w:rPr>
          <w:rFonts w:ascii="Times New Roman" w:hAnsi="Times New Roman"/>
          <w:color w:val="000000"/>
          <w:sz w:val="24"/>
        </w:rPr>
        <w:t>Verifies communication between different modules and external systems. Ensures smooth database queries with TiDB Serverless Cloud, session management, and HTTP routing.</w:t>
      </w:r>
    </w:p>
    <w:p>
      <w:pPr>
        <w:pStyle w:val="ListBullet"/>
        <w:spacing w:line="360" w:lineRule="auto" w:after="60"/>
        <w:jc w:val="both"/>
      </w:pPr>
      <w:r>
        <w:rPr>
          <w:rFonts w:ascii="Times New Roman" w:hAnsi="Times New Roman"/>
          <w:b/>
          <w:color w:val="000000"/>
          <w:sz w:val="24"/>
        </w:rPr>
        <w:t xml:space="preserve">03 System Testing: </w:t>
      </w:r>
      <w:r>
        <w:rPr>
          <w:rFonts w:ascii="Times New Roman" w:hAnsi="Times New Roman"/>
          <w:color w:val="000000"/>
          <w:sz w:val="24"/>
        </w:rPr>
        <w:t>Tests the entire web application end-to-end in a production-equivalent environment. Validates complete workflows such as member registration, item listing, search, borrow requests, owner approval, and return confirmation.</w:t>
      </w:r>
    </w:p>
    <w:p>
      <w:pPr>
        <w:pStyle w:val="ListBullet"/>
        <w:spacing w:line="360" w:lineRule="auto" w:after="60"/>
        <w:jc w:val="both"/>
      </w:pPr>
      <w:r>
        <w:rPr>
          <w:rFonts w:ascii="Times New Roman" w:hAnsi="Times New Roman"/>
          <w:b/>
          <w:color w:val="000000"/>
          <w:sz w:val="24"/>
        </w:rPr>
        <w:t xml:space="preserve">04 Acceptance Testing: </w:t>
      </w:r>
      <w:r>
        <w:rPr>
          <w:rFonts w:ascii="Times New Roman" w:hAnsi="Times New Roman"/>
          <w:color w:val="000000"/>
          <w:sz w:val="24"/>
        </w:rPr>
        <w:t>User Acceptance Testing (UAT) validates that the platform meets community user requirements, practical lending needs, and usability expectations.</w:t>
      </w:r>
    </w:p>
    <w:p>
      <w:pPr>
        <w:keepNext/>
        <w:spacing w:before="140" w:after="40" w:line="288" w:lineRule="auto"/>
      </w:pPr>
      <w:r>
        <w:rPr>
          <w:rFonts w:ascii="Times New Roman" w:hAnsi="Times New Roman"/>
          <w:b/>
          <w:color w:val="000000"/>
          <w:sz w:val="26"/>
        </w:rPr>
        <w:t>1.2 Regression and Security Testing</w:t>
      </w:r>
    </w:p>
    <w:p>
      <w:pPr>
        <w:pStyle w:val="ListBullet"/>
        <w:spacing w:line="360" w:lineRule="auto" w:after="60"/>
        <w:jc w:val="both"/>
      </w:pPr>
      <w:r>
        <w:rPr>
          <w:rFonts w:ascii="Times New Roman" w:hAnsi="Times New Roman"/>
          <w:b/>
          <w:color w:val="000000"/>
          <w:sz w:val="24"/>
        </w:rPr>
        <w:t xml:space="preserve">Regression Testing: </w:t>
      </w:r>
      <w:r>
        <w:rPr>
          <w:rFonts w:ascii="Times New Roman" w:hAnsi="Times New Roman"/>
          <w:color w:val="000000"/>
          <w:sz w:val="24"/>
        </w:rPr>
        <w:t>Automated test suites run automatically after any code update to ensure existing features remain fully functional without unintended bugs.</w:t>
      </w:r>
    </w:p>
    <w:p>
      <w:pPr>
        <w:pStyle w:val="ListBullet"/>
        <w:spacing w:line="360" w:lineRule="auto" w:after="60"/>
        <w:jc w:val="both"/>
      </w:pPr>
      <w:r>
        <w:rPr>
          <w:rFonts w:ascii="Times New Roman" w:hAnsi="Times New Roman"/>
          <w:b/>
          <w:color w:val="000000"/>
          <w:sz w:val="24"/>
        </w:rPr>
        <w:t xml:space="preserve">Security Testing: </w:t>
      </w:r>
      <w:r>
        <w:rPr>
          <w:rFonts w:ascii="Times New Roman" w:hAnsi="Times New Roman"/>
          <w:color w:val="000000"/>
          <w:sz w:val="24"/>
        </w:rPr>
        <w:t>Checks against OWASP Top 10 vulnerabilities. Remediated key risks including SQL Injection through parameterized queries, Broken Access Control through session decorators, and Cross-Site Scripting (XSS) through template auto-escaping.</w:t>
      </w:r>
    </w:p>
    <w:p>
      <w:pPr>
        <w:keepNext/>
        <w:spacing w:before="200" w:after="60" w:line="288" w:lineRule="auto"/>
      </w:pPr>
      <w:r>
        <w:rPr>
          <w:rFonts w:ascii="Times New Roman" w:hAnsi="Times New Roman"/>
          <w:b/>
          <w:color w:val="000000"/>
          <w:sz w:val="28"/>
        </w:rPr>
        <w:t>2. Verified Application Interfaces Under Test</w:t>
      </w:r>
    </w:p>
    <w:p>
      <w:pPr>
        <w:spacing w:line="360" w:lineRule="auto" w:after="80"/>
        <w:jc w:val="both"/>
      </w:pPr>
      <w:r>
        <w:rPr>
          <w:rFonts w:ascii="Times New Roman" w:hAnsi="Times New Roman"/>
          <w:color w:val="000000"/>
          <w:sz w:val="24"/>
        </w:rPr>
        <w:t>Before running end-to-end automated test suites, the platform's visual user interfaces and responsive layouts were verified across modern desktop and mobile browsers. Key application screens under test include user authentication and member dashboards:</w:t>
      </w:r>
    </w:p>
    <w:p>
      <w:pPr>
        <w:keepNext/>
        <w:spacing w:before="160" w:after="60"/>
        <w:jc w:val="center"/>
      </w:pPr>
      <w:r>
        <w:drawing>
          <wp:inline xmlns:a="http://schemas.openxmlformats.org/drawingml/2006/main" xmlns:pic="http://schemas.openxmlformats.org/drawingml/2006/picture">
            <wp:extent cx="3474720" cy="2026920"/>
            <wp:docPr id="2" name="Picture 2"/>
            <wp:cNvGraphicFramePr>
              <a:graphicFrameLocks noChangeAspect="1"/>
            </wp:cNvGraphicFramePr>
            <a:graphic>
              <a:graphicData uri="http://schemas.openxmlformats.org/drawingml/2006/picture">
                <pic:pic>
                  <pic:nvPicPr>
                    <pic:cNvPr id="0" name="app_login_screen.png"/>
                    <pic:cNvPicPr/>
                  </pic:nvPicPr>
                  <pic:blipFill>
                    <a:blip r:embed="rId11"/>
                    <a:stretch>
                      <a:fillRect/>
                    </a:stretch>
                  </pic:blipFill>
                  <pic:spPr>
                    <a:xfrm>
                      <a:off x="0" y="0"/>
                      <a:ext cx="3474720" cy="2026920"/>
                    </a:xfrm>
                    <a:prstGeom prst="rect"/>
                  </pic:spPr>
                </pic:pic>
              </a:graphicData>
            </a:graphic>
          </wp:inline>
        </w:drawing>
      </w:r>
    </w:p>
    <w:p>
      <w:pPr>
        <w:keepNext/>
        <w:spacing w:before="0" w:after="160"/>
        <w:jc w:val="center"/>
      </w:pPr>
      <w:r>
        <w:rPr>
          <w:rFonts w:ascii="Times New Roman" w:hAnsi="Times New Roman"/>
          <w:b/>
          <w:color w:val="000000"/>
          <w:sz w:val="20"/>
        </w:rPr>
        <w:t>Figure 9: User Authentication Interface — Web Login Screen</w:t>
      </w:r>
    </w:p>
    <w:p>
      <w:pPr>
        <w:spacing w:line="360" w:lineRule="auto" w:after="80"/>
        <w:jc w:val="both"/>
      </w:pPr>
      <w:r>
        <w:rPr>
          <w:rFonts w:ascii="Times New Roman" w:hAnsi="Times New Roman"/>
          <w:color w:val="000000"/>
          <w:sz w:val="24"/>
        </w:rPr>
        <w:t>The login interface provides secure member authentication with clear input validation, session cookie handling, and user-friendly error notifications.</w:t>
      </w:r>
    </w:p>
    <w:p>
      <w:pPr>
        <w:keepNext/>
        <w:spacing w:before="160" w:after="60"/>
        <w:jc w:val="center"/>
      </w:pPr>
      <w:r>
        <w:drawing>
          <wp:inline xmlns:a="http://schemas.openxmlformats.org/drawingml/2006/main" xmlns:pic="http://schemas.openxmlformats.org/drawingml/2006/picture">
            <wp:extent cx="3474720" cy="2171700"/>
            <wp:docPr id="3" name="Picture 3"/>
            <wp:cNvGraphicFramePr>
              <a:graphicFrameLocks noChangeAspect="1"/>
            </wp:cNvGraphicFramePr>
            <a:graphic>
              <a:graphicData uri="http://schemas.openxmlformats.org/drawingml/2006/picture">
                <pic:pic>
                  <pic:nvPicPr>
                    <pic:cNvPr id="0" name="app_dashboard_screen.png"/>
                    <pic:cNvPicPr/>
                  </pic:nvPicPr>
                  <pic:blipFill>
                    <a:blip r:embed="rId12"/>
                    <a:stretch>
                      <a:fillRect/>
                    </a:stretch>
                  </pic:blipFill>
                  <pic:spPr>
                    <a:xfrm>
                      <a:off x="0" y="0"/>
                      <a:ext cx="3474720" cy="2171700"/>
                    </a:xfrm>
                    <a:prstGeom prst="rect"/>
                  </pic:spPr>
                </pic:pic>
              </a:graphicData>
            </a:graphic>
          </wp:inline>
        </w:drawing>
      </w:r>
    </w:p>
    <w:p>
      <w:pPr>
        <w:keepNext/>
        <w:spacing w:before="0" w:after="160"/>
        <w:jc w:val="center"/>
      </w:pPr>
      <w:r>
        <w:rPr>
          <w:rFonts w:ascii="Times New Roman" w:hAnsi="Times New Roman"/>
          <w:b/>
          <w:color w:val="000000"/>
          <w:sz w:val="20"/>
        </w:rPr>
        <w:t>Figure 10: Community Lending Dashboard and Item Management Interface</w:t>
      </w:r>
    </w:p>
    <w:p>
      <w:pPr>
        <w:spacing w:line="360" w:lineRule="auto" w:after="80"/>
        <w:jc w:val="both"/>
      </w:pPr>
      <w:r>
        <w:rPr>
          <w:rFonts w:ascii="Times New Roman" w:hAnsi="Times New Roman"/>
          <w:color w:val="000000"/>
          <w:sz w:val="24"/>
        </w:rPr>
        <w:t>The dashboard provides community members with real-time management of listed household items, active borrowing requests, and loan statuses.</w:t>
      </w:r>
    </w:p>
    <w:p>
      <w:pPr>
        <w:keepNext/>
        <w:spacing w:before="200" w:after="60" w:line="288" w:lineRule="auto"/>
      </w:pPr>
      <w:r>
        <w:rPr>
          <w:rFonts w:ascii="Times New Roman" w:hAnsi="Times New Roman"/>
          <w:b/>
          <w:color w:val="000000"/>
          <w:sz w:val="28"/>
        </w:rPr>
        <w:t>3. Automated Test Suite Execution and Results</w:t>
      </w:r>
    </w:p>
    <w:p>
      <w:pPr>
        <w:spacing w:line="360" w:lineRule="auto" w:after="80"/>
        <w:jc w:val="both"/>
      </w:pPr>
      <w:r>
        <w:rPr>
          <w:rFonts w:ascii="Times New Roman" w:hAnsi="Times New Roman"/>
          <w:color w:val="000000"/>
          <w:sz w:val="24"/>
        </w:rPr>
        <w:t>Automated testing was conducted using the pytest testing framework. All fifteen functional test suites were executed sequentially, validating member authentication, catalog operations, search algorithms, and the complete lending request lifecycle state machine:</w:t>
      </w:r>
    </w:p>
    <w:p>
      <w:pPr>
        <w:keepNext/>
        <w:spacing w:before="160" w:after="60"/>
        <w:jc w:val="center"/>
      </w:pPr>
      <w:r>
        <w:drawing>
          <wp:inline xmlns:a="http://schemas.openxmlformats.org/drawingml/2006/main" xmlns:pic="http://schemas.openxmlformats.org/drawingml/2006/picture">
            <wp:extent cx="3840480" cy="2141651"/>
            <wp:docPr id="4" name="Picture 4"/>
            <wp:cNvGraphicFramePr>
              <a:graphicFrameLocks noChangeAspect="1"/>
            </wp:cNvGraphicFramePr>
            <a:graphic>
              <a:graphicData uri="http://schemas.openxmlformats.org/drawingml/2006/picture">
                <pic:pic>
                  <pic:nvPicPr>
                    <pic:cNvPr id="0" name="fig9_test_results.png"/>
                    <pic:cNvPicPr/>
                  </pic:nvPicPr>
                  <pic:blipFill>
                    <a:blip r:embed="rId13"/>
                    <a:stretch>
                      <a:fillRect/>
                    </a:stretch>
                  </pic:blipFill>
                  <pic:spPr>
                    <a:xfrm>
                      <a:off x="0" y="0"/>
                      <a:ext cx="3840480" cy="2141651"/>
                    </a:xfrm>
                    <a:prstGeom prst="rect"/>
                  </pic:spPr>
                </pic:pic>
              </a:graphicData>
            </a:graphic>
          </wp:inline>
        </w:drawing>
      </w:r>
    </w:p>
    <w:p>
      <w:pPr>
        <w:keepNext/>
        <w:spacing w:before="0" w:after="160"/>
        <w:jc w:val="center"/>
      </w:pPr>
      <w:r>
        <w:rPr>
          <w:rFonts w:ascii="Times New Roman" w:hAnsi="Times New Roman"/>
          <w:b/>
          <w:color w:val="000000"/>
          <w:sz w:val="20"/>
        </w:rPr>
        <w:t>Figure 11: Automated Test Suite Execution Results (pytest)</w:t>
      </w:r>
    </w:p>
    <w:p>
      <w:pPr>
        <w:spacing w:line="360" w:lineRule="auto" w:after="80"/>
        <w:jc w:val="both"/>
      </w:pPr>
      <w:r>
        <w:rPr>
          <w:rFonts w:ascii="Times New Roman" w:hAnsi="Times New Roman"/>
          <w:color w:val="000000"/>
          <w:sz w:val="24"/>
        </w:rPr>
        <w:t>As shown in Figure 11, all 15 automated test suites executed successfully in 0.42 seconds with zero test failures, zero regressions, and 100% test completion.</w:t>
      </w:r>
    </w:p>
    <w:p>
      <w:pPr>
        <w:keepNext/>
        <w:spacing w:before="200" w:after="60" w:line="288" w:lineRule="auto"/>
      </w:pPr>
      <w:r>
        <w:rPr>
          <w:rFonts w:ascii="Times New Roman" w:hAnsi="Times New Roman"/>
          <w:b/>
          <w:color w:val="000000"/>
          <w:sz w:val="28"/>
        </w:rPr>
        <w:t>4. Sample Test Plans and Validation Matrix</w:t>
      </w:r>
    </w:p>
    <w:p>
      <w:pPr>
        <w:spacing w:line="360" w:lineRule="auto" w:after="80"/>
        <w:jc w:val="both"/>
      </w:pPr>
      <w:r>
        <w:rPr>
          <w:rFonts w:ascii="Times New Roman" w:hAnsi="Times New Roman"/>
          <w:color w:val="000000"/>
          <w:sz w:val="24"/>
        </w:rPr>
        <w:t>The following test matrix details sample functional test cases, test inputs, expected outcomes, and verified execution results across all platform modules: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TC ID</w:t>
            </w:r>
          </w:p>
        </w:tc>
        <w:tc>
          <w:tcPr>
            <w:tcW w:type="dxa" w:w="115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Module</w:t>
            </w:r>
          </w:p>
        </w:tc>
        <w:tc>
          <w:tcPr>
            <w:tcW w:type="dxa" w:w="216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Test Scenario</w:t>
            </w:r>
          </w:p>
        </w:tc>
        <w:tc>
          <w:tcPr>
            <w:tcW w:type="dxa" w:w="273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Test Steps &amp; Input</w:t>
            </w:r>
          </w:p>
        </w:tc>
        <w:tc>
          <w:tcPr>
            <w:tcW w:type="dxa" w:w="1872"/>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Expected Result</w:t>
            </w:r>
          </w:p>
        </w:tc>
        <w:tc>
          <w:tcPr>
            <w:tcW w:type="dxa" w:w="57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Status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TC-01</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New User Registration</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Submit: Valid name, unique email, strong password</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Account created; password hashed; redirect login</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TC-02</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Duplicate Email Registration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registration with existing email</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Error: 'Email already registered'; record blocked</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TC-03</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User Login (Valid)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Submit valid registered email and password</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Session established; user redirected to dashboard</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TC-04</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Auth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User Login (Invalid)</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valid email with incorrect password</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Error: 'Invalid credentials'; session denied</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TC-05</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Auth Guard</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Protected Route Access</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Navigate to `/dashboard` without active login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Blocked; redirected to `/login` with alert</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TC-06</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Catalog</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Add Item Listing</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Submit title, category 'Tools', description, JPG</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Item created; UUID photo saved; listed in catalog</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TC-07</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Catalog</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Disallowed File Upload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Attempt to upload `.exe` or `.pdf` file</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Upload rejected; error shown: 'Allowed: PNG, JPG'</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TC-08</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Search</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Keyword Catalog Search</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Enter 'Drill' in search bar and submit query</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Catalog displays only items matching 'Drill'</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TC-09</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Filter</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Category Filter Selection</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Select 'Kitchen' from category dropdown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Catalog displays only kitchen-related resources</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TC-10</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Self-Borrowing Prevention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attempts to borrow own listed resource</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Blocked: 'You cannot borrow your own item'</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TC-11</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Submit Borrow Request</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Borrower clicks 'Request Item' on available item</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Request created with 'Pending' status</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TC-12</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Workflow</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Duplicate Request Prevention</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Borrower requests same pending item again</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Blocked: 'You already have an active request'</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TC-13</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Approval</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Owner Approves Request</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Owner clicks 'Approve' on pending request</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Status becomes 'Approved'; item status -&gt; 'Lent'</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TC-14</w:t>
            </w:r>
          </w:p>
        </w:tc>
        <w:tc>
          <w:tcPr>
            <w:tcW w:type="dxa" w:w="115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Approval</w:t>
            </w:r>
          </w:p>
        </w:tc>
        <w:tc>
          <w:tcPr>
            <w:tcW w:type="dxa" w:w="216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Declines Request</w:t>
            </w:r>
          </w:p>
        </w:tc>
        <w:tc>
          <w:tcPr>
            <w:tcW w:type="dxa" w:w="273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Owner clicks 'Decline' on pending request</w:t>
            </w:r>
          </w:p>
        </w:tc>
        <w:tc>
          <w:tcPr>
            <w:tcW w:type="dxa" w:w="1872"/>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Status becomes 'Rejected'; item remains 'Available'</w:t>
            </w:r>
          </w:p>
        </w:tc>
        <w:tc>
          <w:tcPr>
            <w:tcW w:type="dxa" w:w="57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r>
        <w:tc>
          <w:tcPr>
            <w:tcW w:type="dxa" w:w="864"/>
            <w:tcMar>
              <w:top w:w="30" w:type="dxa"/>
              <w:bottom w:w="30" w:type="dxa"/>
              <w:left w:w="50" w:type="dxa"/>
              <w:right w:w="50" w:type="dxa"/>
            </w:tcMar>
          </w:tcPr>
          <w:p>
            <w:pPr>
              <w:spacing w:before="20" w:after="20" w:line="252" w:lineRule="auto"/>
            </w:pPr>
            <w:r>
              <w:rPr>
                <w:rFonts w:ascii="Times New Roman" w:hAnsi="Times New Roman"/>
                <w:color w:val="000000"/>
                <w:sz w:val="17"/>
              </w:rPr>
              <w:t>TC-15</w:t>
            </w:r>
          </w:p>
        </w:tc>
        <w:tc>
          <w:tcPr>
            <w:tcW w:type="dxa" w:w="1152"/>
            <w:tcMar>
              <w:top w:w="30" w:type="dxa"/>
              <w:bottom w:w="30" w:type="dxa"/>
              <w:left w:w="50" w:type="dxa"/>
              <w:right w:w="50" w:type="dxa"/>
            </w:tcMar>
          </w:tcPr>
          <w:p>
            <w:pPr>
              <w:spacing w:before="20" w:after="20" w:line="252" w:lineRule="auto"/>
            </w:pPr>
            <w:r>
              <w:rPr>
                <w:rFonts w:ascii="Times New Roman" w:hAnsi="Times New Roman"/>
                <w:color w:val="000000"/>
                <w:sz w:val="17"/>
              </w:rPr>
              <w:t>Lifecycle</w:t>
            </w:r>
          </w:p>
        </w:tc>
        <w:tc>
          <w:tcPr>
            <w:tcW w:type="dxa" w:w="2160"/>
            <w:tcMar>
              <w:top w:w="30" w:type="dxa"/>
              <w:bottom w:w="30" w:type="dxa"/>
              <w:left w:w="50" w:type="dxa"/>
              <w:right w:w="50" w:type="dxa"/>
            </w:tcMar>
          </w:tcPr>
          <w:p>
            <w:pPr>
              <w:spacing w:before="20" w:after="20" w:line="252" w:lineRule="auto"/>
            </w:pPr>
            <w:r>
              <w:rPr>
                <w:rFonts w:ascii="Times New Roman" w:hAnsi="Times New Roman"/>
                <w:color w:val="000000"/>
                <w:sz w:val="17"/>
              </w:rPr>
              <w:t>Mark Item as Returned</w:t>
            </w:r>
          </w:p>
        </w:tc>
        <w:tc>
          <w:tcPr>
            <w:tcW w:type="dxa" w:w="2736"/>
            <w:tcMar>
              <w:top w:w="30" w:type="dxa"/>
              <w:bottom w:w="30" w:type="dxa"/>
              <w:left w:w="50" w:type="dxa"/>
              <w:right w:w="50" w:type="dxa"/>
            </w:tcMar>
          </w:tcPr>
          <w:p>
            <w:pPr>
              <w:spacing w:before="20" w:after="20" w:line="252" w:lineRule="auto"/>
            </w:pPr>
            <w:r>
              <w:rPr>
                <w:rFonts w:ascii="Times New Roman" w:hAnsi="Times New Roman"/>
                <w:color w:val="000000"/>
                <w:sz w:val="17"/>
              </w:rPr>
              <w:t>Owner clicks 'Mark Returned' upon return</w:t>
            </w:r>
          </w:p>
        </w:tc>
        <w:tc>
          <w:tcPr>
            <w:tcW w:type="dxa" w:w="1872"/>
            <w:tcMar>
              <w:top w:w="30" w:type="dxa"/>
              <w:bottom w:w="30" w:type="dxa"/>
              <w:left w:w="50" w:type="dxa"/>
              <w:right w:w="50" w:type="dxa"/>
            </w:tcMar>
          </w:tcPr>
          <w:p>
            <w:pPr>
              <w:spacing w:before="20" w:after="20" w:line="252" w:lineRule="auto"/>
            </w:pPr>
            <w:r>
              <w:rPr>
                <w:rFonts w:ascii="Times New Roman" w:hAnsi="Times New Roman"/>
                <w:color w:val="000000"/>
                <w:sz w:val="17"/>
              </w:rPr>
              <w:t>Status becomes 'Returned'; item -&gt; 'Available'</w:t>
            </w:r>
          </w:p>
        </w:tc>
        <w:tc>
          <w:tcPr>
            <w:tcW w:type="dxa" w:w="576"/>
            <w:tcMar>
              <w:top w:w="30" w:type="dxa"/>
              <w:bottom w:w="30" w:type="dxa"/>
              <w:left w:w="50" w:type="dxa"/>
              <w:right w:w="50" w:type="dxa"/>
            </w:tcMar>
          </w:tcPr>
          <w:p>
            <w:pPr>
              <w:spacing w:before="20" w:after="20" w:line="252" w:lineRule="auto"/>
            </w:pPr>
            <w:r>
              <w:rPr>
                <w:rFonts w:ascii="Times New Roman" w:hAnsi="Times New Roman"/>
                <w:color w:val="000000"/>
                <w:sz w:val="17"/>
              </w:rPr>
              <w:t>PASS</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Second Review Report — Testing Approach, Interfaces &amp; Test Results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