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84F95"/>
        </w:rPr>
        <w:t>Automated Fish Length Estimation with Vision Foundation Models</w:t>
      </w:r>
    </w:p>
    <w:p>
      <w:r>
        <w:rPr>
          <w:b/>
          <w:i w:val="0"/>
        </w:rPr>
        <w:t>AutoFish Area Seminar — Final Project Report</w:t>
      </w:r>
    </w:p>
    <w:p>
      <w:r>
        <w:rPr>
          <w:b w:val="0"/>
          <w:i w:val="0"/>
        </w:rPr>
        <w:t>Authors: Abu Bakar, Laksh Jiwani, Shahman Butt  |  Supervisor: Bohan Zhuang, M.Sc.  |  Professor: Stefan Oehmcke  |  University of Rostock (VACOT)</w:t>
      </w:r>
    </w:p>
    <w:p>
      <w:r>
        <w:rPr>
          <w:b w:val="0"/>
          <w:i w:val="0"/>
        </w:rPr>
        <w:t>Repository: https://github.com/Shahman-Butt/AreaSeminarFishLength</w:t>
      </w:r>
    </w:p>
    <w:p>
      <w:r>
        <w:rPr>
          <w:b w:val="0"/>
          <w:i/>
        </w:rPr>
        <w:t>This report explains the project from scratch in both plain language and technical detail, and clearly separates previously completed work, reused results, newly completed work, failed experiments, and unresolved tasks.</w:t>
      </w:r>
    </w:p>
    <w:p>
      <w:pPr>
        <w:pStyle w:val="Heading1"/>
      </w:pPr>
      <w:r>
        <w:rPr>
          <w:color w:val="184F95"/>
        </w:rPr>
        <w:t>1. Executive summary</w:t>
      </w:r>
    </w:p>
    <w:p>
      <w:r>
        <w:rPr>
          <w:b/>
          <w:i w:val="0"/>
        </w:rPr>
        <w:t>Plain language.</w:t>
      </w:r>
    </w:p>
    <w:p>
      <w:r>
        <w:rPr>
          <w:b w:val="0"/>
          <w:i w:val="0"/>
        </w:rPr>
        <w:t>We taught a computer to measure a fish's length in centimetres from a photo. First we rebuilt the published AutoFish result to prove our setup is correct. Then we swapped the image-understanding part ('the eye') for several modern AI models to see if any could measure fish better. The original small network stayed best for measuring length. Along the way we found a genuine, repeatable improvement inside one of the modern models (DINOv2): using its detailed 'patch' features instead of its single summary feature made it clearly and reliably better. We also tested a second task — identifying the fish species — where all models did very well.</w:t>
      </w:r>
    </w:p>
    <w:p>
      <w:r>
        <w:rPr>
          <w:b/>
          <w:i w:val="0"/>
        </w:rPr>
        <w:t>Technical.</w:t>
      </w:r>
    </w:p>
    <w:p>
      <w:r>
        <w:rPr>
          <w:b w:val="0"/>
          <w:i w:val="0"/>
        </w:rPr>
        <w:t>On length regression the reproduced MobileNetV2 baseline remains best (0.771 cm full-test MAE). Our new controlled, multi-seed study shows DINOv2 with mean-pooled patch tokens (1.261 ± 0.054 cm, 3 seeds) reliably beats the hyperparameter-matched CLS-token variant (1.843 ± 0.023 cm), a 0.582 cm gain with non-overlapping seed ranges. Partial fine-tuning did not improve patch pooling. On species classification all four encoders reach 95–99.6% accuracy.</w:t>
      </w:r>
    </w:p>
    <w:p>
      <w:pPr>
        <w:pStyle w:val="Heading1"/>
      </w:pPr>
      <w:r>
        <w:rPr>
          <w:color w:val="184F95"/>
        </w:rPr>
        <w:t>2. The task and the data</w:t>
      </w:r>
    </w:p>
    <w:p>
      <w:r>
        <w:rPr>
          <w:b/>
          <w:i w:val="0"/>
        </w:rPr>
        <w:t>Plain language.</w:t>
      </w:r>
    </w:p>
    <w:p>
      <w:r>
        <w:rPr>
          <w:b w:val="0"/>
          <w:i w:val="0"/>
        </w:rPr>
        <w:t>The dataset (AutoFish, from Bengtson et al.) has 454 real fish, handled in 25 groups and photographed 1,500 times, giving 18,157 'fish-in-a-photo' records, each hand-measured. Some photos show fish laid out separately (easy) and some show them overlapping (hard). We predict a single number — the length in cm — so this is a regression task.</w:t>
      </w:r>
    </w:p>
    <w:p>
      <w:r>
        <w:rPr>
          <w:b/>
          <w:i w:val="0"/>
        </w:rPr>
        <w:t>Technical.</w:t>
      </w:r>
    </w:p>
    <w:p>
      <w:pPr>
        <w:pStyle w:val="ListBullet"/>
      </w:pPr>
      <w:r>
        <w:t>Split by whole groups (15 train / 5 validation / 5 test) so the same fish never appears in two splits; a photo-level split would leak fish identity.</w:t>
      </w:r>
    </w:p>
    <w:p>
      <w:pPr>
        <w:pStyle w:val="ListBullet"/>
      </w:pPr>
      <w:r>
        <w:t>Leakage audit removed one cross-split duplicate (fish_id 113, annotation 3759); hence the non-occluded test count is 1,879, not 1,880.</w:t>
      </w:r>
    </w:p>
    <w:p>
      <w:pPr>
        <w:pStyle w:val="ListBullet"/>
      </w:pPr>
      <w:r>
        <w:t>Test set = 3,759 fish (1,879 non-occluded + 1,880 occluded). Metric: mean absolute error (MAE) in cm; also RMSE, MAPE, bias, R2.</w:t>
      </w:r>
    </w:p>
    <w:p>
      <w:pPr>
        <w:pStyle w:val="ListBullet"/>
      </w:pPr>
      <w:r>
        <w:t>Pipeline: masked square crop -&gt; 224x224 -&gt; encoder -&gt; features + 4 bbox values -&gt; MLP head -&gt; length. Only the encoder is swapped between experiments.</w:t>
      </w:r>
    </w:p>
    <w:p>
      <w:pPr>
        <w:pStyle w:val="Heading1"/>
      </w:pPr>
      <w:r>
        <w:rPr>
          <w:color w:val="184F95"/>
        </w:rPr>
        <w:t>3. Previously completed work (reused, not repeated)</w:t>
      </w:r>
    </w:p>
    <w:p>
      <w:r>
        <w:rPr>
          <w:b w:val="0"/>
          <w:i w:val="0"/>
        </w:rPr>
        <w:t>These experiments were already finished with saved checkpoints, metrics and predictions; under the no-repeat rule they were reused, not rerun.</w:t>
      </w:r>
    </w:p>
    <w:p>
      <w:r>
        <w:rPr>
          <w:b/>
          <w:i w:val="0"/>
        </w:rPr>
        <w:t>Length regression — full-test MAE (cm):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Adaptation</w:t>
            </w:r>
          </w:p>
        </w:tc>
        <w:tc>
          <w:tcPr>
            <w:tcW w:type="dxa" w:w="2880"/>
          </w:tcPr>
          <w:p>
            <w:r>
              <w:t>Full-test MAE</w:t>
            </w:r>
          </w:p>
        </w:tc>
      </w:tr>
      <w:tr>
        <w:tc>
          <w:tcPr>
            <w:tcW w:type="dxa" w:w="2880"/>
          </w:tcPr>
          <w:p>
            <w:r>
              <w:t>MobileNetV2 (baseline)</w:t>
            </w:r>
          </w:p>
        </w:tc>
        <w:tc>
          <w:tcPr>
            <w:tcW w:type="dxa" w:w="2880"/>
          </w:tcPr>
          <w:p>
            <w:r>
              <w:t>full fine-tune (paper recipe)</w:t>
            </w:r>
          </w:p>
        </w:tc>
        <w:tc>
          <w:tcPr>
            <w:tcW w:type="dxa" w:w="2880"/>
          </w:tcPr>
          <w:p>
            <w:r>
              <w:t>0.771</w:t>
            </w:r>
          </w:p>
        </w:tc>
      </w:tr>
      <w:tr>
        <w:tc>
          <w:tcPr>
            <w:tcW w:type="dxa" w:w="2880"/>
          </w:tcPr>
          <w:p>
            <w:r>
              <w:t>ConvNeXt-Tiny</w:t>
            </w:r>
          </w:p>
        </w:tc>
        <w:tc>
          <w:tcPr>
            <w:tcW w:type="dxa" w:w="2880"/>
          </w:tcPr>
          <w:p>
            <w:r>
              <w:t>full fine-tune</w:t>
            </w:r>
          </w:p>
        </w:tc>
        <w:tc>
          <w:tcPr>
            <w:tcW w:type="dxa" w:w="2880"/>
          </w:tcPr>
          <w:p>
            <w:r>
              <w:t>0.914</w:t>
            </w:r>
          </w:p>
        </w:tc>
      </w:tr>
      <w:tr>
        <w:tc>
          <w:tcPr>
            <w:tcW w:type="dxa" w:w="2880"/>
          </w:tcPr>
          <w:p>
            <w:r>
              <w:t>CLIP ViT-B/32</w:t>
            </w:r>
          </w:p>
        </w:tc>
        <w:tc>
          <w:tcPr>
            <w:tcW w:type="dxa" w:w="2880"/>
          </w:tcPr>
          <w:p>
            <w:r>
              <w:t>last-block fine-tune</w:t>
            </w:r>
          </w:p>
        </w:tc>
        <w:tc>
          <w:tcPr>
            <w:tcW w:type="dxa" w:w="2880"/>
          </w:tcPr>
          <w:p>
            <w:r>
              <w:t>0.958</w:t>
            </w:r>
          </w:p>
        </w:tc>
      </w:tr>
      <w:tr>
        <w:tc>
          <w:tcPr>
            <w:tcW w:type="dxa" w:w="2880"/>
          </w:tcPr>
          <w:p>
            <w:r>
              <w:t>CLIP ViT-B/32</w:t>
            </w:r>
          </w:p>
        </w:tc>
        <w:tc>
          <w:tcPr>
            <w:tcW w:type="dxa" w:w="2880"/>
          </w:tcPr>
          <w:p>
            <w:r>
              <w:t>frozen</w:t>
            </w:r>
          </w:p>
        </w:tc>
        <w:tc>
          <w:tcPr>
            <w:tcW w:type="dxa" w:w="2880"/>
          </w:tcPr>
          <w:p>
            <w:r>
              <w:t>1.002</w:t>
            </w:r>
          </w:p>
        </w:tc>
      </w:tr>
      <w:tr>
        <w:tc>
          <w:tcPr>
            <w:tcW w:type="dxa" w:w="2880"/>
          </w:tcPr>
          <w:p>
            <w:r>
              <w:t>DINOv2 ViT-S/14 (CLS)</w:t>
            </w:r>
          </w:p>
        </w:tc>
        <w:tc>
          <w:tcPr>
            <w:tcW w:type="dxa" w:w="2880"/>
          </w:tcPr>
          <w:p>
            <w:r>
              <w:t>last-block fine-tune</w:t>
            </w:r>
          </w:p>
        </w:tc>
        <w:tc>
          <w:tcPr>
            <w:tcW w:type="dxa" w:w="2880"/>
          </w:tcPr>
          <w:p>
            <w:r>
              <w:t>1.439</w:t>
            </w:r>
          </w:p>
        </w:tc>
      </w:tr>
      <w:tr>
        <w:tc>
          <w:tcPr>
            <w:tcW w:type="dxa" w:w="2880"/>
          </w:tcPr>
          <w:p>
            <w:r>
              <w:t>DINOv2 ViT-S/14 (CLS)</w:t>
            </w:r>
          </w:p>
        </w:tc>
        <w:tc>
          <w:tcPr>
            <w:tcW w:type="dxa" w:w="2880"/>
          </w:tcPr>
          <w:p>
            <w:r>
              <w:t>frozen (LR1e-3)</w:t>
            </w:r>
          </w:p>
        </w:tc>
        <w:tc>
          <w:tcPr>
            <w:tcW w:type="dxa" w:w="2880"/>
          </w:tcPr>
          <w:p>
            <w:r>
              <w:t>1.738</w:t>
            </w:r>
          </w:p>
        </w:tc>
      </w:tr>
      <w:tr>
        <w:tc>
          <w:tcPr>
            <w:tcW w:type="dxa" w:w="2880"/>
          </w:tcPr>
          <w:p>
            <w:r>
              <w:t>DINOv2 ViT-S/14 (CLS)</w:t>
            </w:r>
          </w:p>
        </w:tc>
        <w:tc>
          <w:tcPr>
            <w:tcW w:type="dxa" w:w="2880"/>
          </w:tcPr>
          <w:p>
            <w:r>
              <w:t>full FT enc-LR 1e-5</w:t>
            </w:r>
          </w:p>
        </w:tc>
        <w:tc>
          <w:tcPr>
            <w:tcW w:type="dxa" w:w="2880"/>
          </w:tcPr>
          <w:p>
            <w:r>
              <w:t>1.778</w:t>
            </w:r>
          </w:p>
        </w:tc>
      </w:tr>
      <w:tr>
        <w:tc>
          <w:tcPr>
            <w:tcW w:type="dxa" w:w="2880"/>
          </w:tcPr>
          <w:p>
            <w:r>
              <w:t>DINOv2 ViT-S/14 (CLS)</w:t>
            </w:r>
          </w:p>
        </w:tc>
        <w:tc>
          <w:tcPr>
            <w:tcW w:type="dxa" w:w="2880"/>
          </w:tcPr>
          <w:p>
            <w:r>
              <w:t>full FT enc-LR 1e-6</w:t>
            </w:r>
          </w:p>
        </w:tc>
        <w:tc>
          <w:tcPr>
            <w:tcW w:type="dxa" w:w="2880"/>
          </w:tcPr>
          <w:p>
            <w:r>
              <w:t>2.132</w:t>
            </w:r>
          </w:p>
        </w:tc>
      </w:tr>
    </w:tbl>
    <w:p>
      <w:r>
        <w:rPr>
          <w:b w:val="0"/>
          <w:i w:val="0"/>
        </w:rPr>
        <w:t>Baseline reproduction: our non-occluded MAE 0.633 cm vs the paper's 0.62 cm (0.013 cm apart) validates the whole pipeline.</w:t>
      </w:r>
    </w:p>
    <w:p>
      <w:pPr>
        <w:pStyle w:val="Heading1"/>
      </w:pPr>
      <w:r>
        <w:rPr>
          <w:color w:val="184F95"/>
        </w:rPr>
        <w:t>4. Newly completed work (this round)</w:t>
      </w:r>
    </w:p>
    <w:p>
      <w:r>
        <w:rPr>
          <w:b/>
          <w:i w:val="0"/>
        </w:rPr>
        <w:t>4.1 Patch tokens vs CLS token — the reliability study.</w:t>
      </w:r>
    </w:p>
    <w:p>
      <w:r>
        <w:rPr>
          <w:b w:val="0"/>
          <w:i w:val="0"/>
        </w:rPr>
        <w:t>Plain language: DINOv2 can describe an image either with one overall summary number-list (the 'CLS token') or with a grid of local number-lists (the 'patch tokens'). We averaged the patch tokens instead of using the summary. Because our first patch run used different training settings than the old CLS run, we re-ran a fair, matched comparison three times each to be sure the improvement is real and not luck.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DINOv2 frozen (matched settings)</w:t>
            </w:r>
          </w:p>
        </w:tc>
        <w:tc>
          <w:tcPr>
            <w:tcW w:type="dxa" w:w="2880"/>
          </w:tcPr>
          <w:p>
            <w:r>
              <w:t>Seeds [42,1,2]</w:t>
            </w:r>
          </w:p>
        </w:tc>
        <w:tc>
          <w:tcPr>
            <w:tcW w:type="dxa" w:w="2880"/>
          </w:tcPr>
          <w:p>
            <w:r>
              <w:t>Mean ± SD</w:t>
            </w:r>
          </w:p>
        </w:tc>
      </w:tr>
      <w:tr>
        <w:tc>
          <w:tcPr>
            <w:tcW w:type="dxa" w:w="2880"/>
          </w:tcPr>
          <w:p>
            <w:r>
              <w:t>CLS token</w:t>
            </w:r>
          </w:p>
        </w:tc>
        <w:tc>
          <w:tcPr>
            <w:tcW w:type="dxa" w:w="2880"/>
          </w:tcPr>
          <w:p>
            <w:r>
              <w:t>[1.811, 1.863, 1.855]</w:t>
            </w:r>
          </w:p>
        </w:tc>
        <w:tc>
          <w:tcPr>
            <w:tcW w:type="dxa" w:w="2880"/>
          </w:tcPr>
          <w:p>
            <w:r>
              <w:t>1.843 ± 0.023</w:t>
            </w:r>
          </w:p>
        </w:tc>
      </w:tr>
      <w:tr>
        <w:tc>
          <w:tcPr>
            <w:tcW w:type="dxa" w:w="2880"/>
          </w:tcPr>
          <w:p>
            <w:r>
              <w:t>Patch token (mean-pool)</w:t>
            </w:r>
          </w:p>
        </w:tc>
        <w:tc>
          <w:tcPr>
            <w:tcW w:type="dxa" w:w="2880"/>
          </w:tcPr>
          <w:p>
            <w:r>
              <w:t>[1.199, 1.33, 1.253]</w:t>
            </w:r>
          </w:p>
        </w:tc>
        <w:tc>
          <w:tcPr>
            <w:tcW w:type="dxa" w:w="2880"/>
          </w:tcPr>
          <w:p>
            <w:r>
              <w:t>1.261 ± 0.054</w:t>
            </w:r>
          </w:p>
        </w:tc>
      </w:tr>
    </w:tbl>
    <w:p>
      <w:r>
        <w:rPr>
          <w:b w:val="0"/>
          <w:i w:val="0"/>
        </w:rPr>
        <w:t>Result: patch tokens improve DINOv2 by 0.582 cm, and the three-seed ranges do not overlap (patch max 1.330 &lt; CLS min 1.811), so the improvement is reliable. It holds on both non-occluded (1.155 vs 1.757) and occluded (1.366 vs 1.929) fish.</w:t>
      </w:r>
    </w:p>
    <w:p>
      <w:r>
        <w:rPr>
          <w:b/>
          <w:i w:val="0"/>
        </w:rPr>
        <w:t>4.2 Ablation — patch tokens + last-block fine-tune.</w:t>
      </w:r>
    </w:p>
    <w:p>
      <w:r>
        <w:rPr>
          <w:b w:val="0"/>
          <w:i w:val="0"/>
        </w:rPr>
        <w:t>Adding partial fine-tuning to patch pooling gave 1.345 cm, which is not better than frozen patch pooling (1.261 cm mean). Conclusion: the best DINOv2 configuration is the simpler frozen patch-token pooling.</w:t>
      </w:r>
    </w:p>
    <w:p>
      <w:r>
        <w:rPr>
          <w:b/>
          <w:i w:val="0"/>
        </w:rPr>
        <w:t>4.3 Species classification (second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Encoder</w:t>
            </w:r>
          </w:p>
        </w:tc>
        <w:tc>
          <w:tcPr>
            <w:tcW w:type="dxa" w:w="2880"/>
          </w:tcPr>
          <w:p>
            <w:r>
              <w:t>Accuracy</w:t>
            </w:r>
          </w:p>
        </w:tc>
        <w:tc>
          <w:tcPr>
            <w:tcW w:type="dxa" w:w="2880"/>
          </w:tcPr>
          <w:p>
            <w:r>
              <w:t>Macro-F1</w:t>
            </w:r>
          </w:p>
        </w:tc>
      </w:tr>
      <w:tr>
        <w:tc>
          <w:tcPr>
            <w:tcW w:type="dxa" w:w="2880"/>
          </w:tcPr>
          <w:p>
            <w:r>
              <w:t>ConvNeXt-Tiny</w:t>
            </w:r>
          </w:p>
        </w:tc>
        <w:tc>
          <w:tcPr>
            <w:tcW w:type="dxa" w:w="2880"/>
          </w:tcPr>
          <w:p>
            <w:r>
              <w:t>0.9957</w:t>
            </w:r>
          </w:p>
        </w:tc>
        <w:tc>
          <w:tcPr>
            <w:tcW w:type="dxa" w:w="2880"/>
          </w:tcPr>
          <w:p>
            <w:r>
              <w:t>0.9921</w:t>
            </w:r>
          </w:p>
        </w:tc>
      </w:tr>
      <w:tr>
        <w:tc>
          <w:tcPr>
            <w:tcW w:type="dxa" w:w="2880"/>
          </w:tcPr>
          <w:p>
            <w:r>
              <w:t>MobileNetV2</w:t>
            </w:r>
          </w:p>
        </w:tc>
        <w:tc>
          <w:tcPr>
            <w:tcW w:type="dxa" w:w="2880"/>
          </w:tcPr>
          <w:p>
            <w:r>
              <w:t>0.9912</w:t>
            </w:r>
          </w:p>
        </w:tc>
        <w:tc>
          <w:tcPr>
            <w:tcW w:type="dxa" w:w="2880"/>
          </w:tcPr>
          <w:p>
            <w:r>
              <w:t>0.9895</w:t>
            </w:r>
          </w:p>
        </w:tc>
      </w:tr>
      <w:tr>
        <w:tc>
          <w:tcPr>
            <w:tcW w:type="dxa" w:w="2880"/>
          </w:tcPr>
          <w:p>
            <w:r>
              <w:t>DINOv2 ViT-S/14 frozen</w:t>
            </w:r>
          </w:p>
        </w:tc>
        <w:tc>
          <w:tcPr>
            <w:tcW w:type="dxa" w:w="2880"/>
          </w:tcPr>
          <w:p>
            <w:r>
              <w:t>0.9819</w:t>
            </w:r>
          </w:p>
        </w:tc>
        <w:tc>
          <w:tcPr>
            <w:tcW w:type="dxa" w:w="2880"/>
          </w:tcPr>
          <w:p>
            <w:r>
              <w:t>0.9775</w:t>
            </w:r>
          </w:p>
        </w:tc>
      </w:tr>
      <w:tr>
        <w:tc>
          <w:tcPr>
            <w:tcW w:type="dxa" w:w="2880"/>
          </w:tcPr>
          <w:p>
            <w:r>
              <w:t>CLIP ViT-B/32 frozen</w:t>
            </w:r>
          </w:p>
        </w:tc>
        <w:tc>
          <w:tcPr>
            <w:tcW w:type="dxa" w:w="2880"/>
          </w:tcPr>
          <w:p>
            <w:r>
              <w:t>0.9513</w:t>
            </w:r>
          </w:p>
        </w:tc>
        <w:tc>
          <w:tcPr>
            <w:tcW w:type="dxa" w:w="2880"/>
          </w:tcPr>
          <w:p>
            <w:r>
              <w:t>0.9545</w:t>
            </w:r>
          </w:p>
        </w:tc>
      </w:tr>
    </w:tbl>
    <w:p>
      <w:r>
        <w:rPr>
          <w:b w:val="0"/>
          <w:i w:val="0"/>
        </w:rPr>
        <w:t>Interpretation: on classification all encoders are strong and the gaps are small. DINOv2, which was last for length, is near the top for species — evidence that foundation-model features suit 'what is this?' (semantics) better than 'how big is it?' (precise geometry). Stated as a hypothesis, consistent with the patch-token finding.</w:t>
      </w:r>
    </w:p>
    <w:p>
      <w:pPr>
        <w:pStyle w:val="Heading1"/>
      </w:pPr>
      <w:r>
        <w:rPr>
          <w:color w:val="184F95"/>
        </w:rPr>
        <w:t>5. Failed / blocked experiments</w:t>
      </w:r>
    </w:p>
    <w:p>
      <w:pPr>
        <w:pStyle w:val="ListBullet"/>
      </w:pPr>
      <w:r>
        <w:t>DINOv3 backbone: the architecture loads, but Meta's pretrained weights are license-gated and the official download returns HTTP 403 Forbidden. A meaningful run needs access-approved weights; recorded as blocked, not a code error.</w:t>
      </w:r>
    </w:p>
    <w:p>
      <w:pPr>
        <w:pStyle w:val="Heading1"/>
      </w:pPr>
      <w:r>
        <w:rPr>
          <w:color w:val="184F95"/>
        </w:rPr>
        <w:t>6. Unresolved / future work</w:t>
      </w:r>
    </w:p>
    <w:p>
      <w:pPr>
        <w:pStyle w:val="ListBullet"/>
      </w:pPr>
      <w:r>
        <w:t>Mask segmentation (the paper's third task) — needs a heavy Mask2Former-style stack; scoped as multi-day future work.</w:t>
      </w:r>
    </w:p>
    <w:p>
      <w:pPr>
        <w:pStyle w:val="ListBullet"/>
      </w:pPr>
      <w:r>
        <w:t>Multi-seed repeats of the MobileNetV2 baseline and ConvNeXt to test the small length gaps.</w:t>
      </w:r>
    </w:p>
    <w:p>
      <w:pPr>
        <w:pStyle w:val="ListBullet"/>
      </w:pPr>
      <w:r>
        <w:t>Larger foundation-model variants (ViT-L/g) and patch pooling for CLIP.</w:t>
      </w:r>
    </w:p>
    <w:p>
      <w:pPr>
        <w:pStyle w:val="ListBullet"/>
      </w:pPr>
      <w:r>
        <w:t>Per-species / per-length error analysis is done for the length models; extend to new runs.</w:t>
      </w:r>
    </w:p>
    <w:p>
      <w:pPr>
        <w:pStyle w:val="Heading1"/>
      </w:pPr>
      <w:r>
        <w:rPr>
          <w:color w:val="184F95"/>
        </w:rPr>
        <w:t>7. Final recommendation</w:t>
      </w:r>
    </w:p>
    <w:p>
      <w:r>
        <w:rPr>
          <w:b/>
          <w:i w:val="0"/>
        </w:rPr>
        <w:t>Did we improve over the baseline? — Two honest answers.</w:t>
      </w:r>
    </w:p>
    <w:p>
      <w:r>
        <w:rPr>
          <w:b w:val="0"/>
          <w:i w:val="0"/>
        </w:rPr>
        <w:t>1) Overall length baseline: NO. MobileNetV2 (0.771 cm) is still the best length model; no foundation-model variant beat it.</w:t>
      </w:r>
    </w:p>
    <w:p>
      <w:r>
        <w:rPr>
          <w:b w:val="0"/>
          <w:i w:val="0"/>
        </w:rPr>
        <w:t>2) Within the DINOv2 foundation model: YES, reliably. Mean-pooled patch tokens cut DINOv2's error from 1.843 to 1.261 cm (a 0.582 cm / 32% reduction), verified over 3 seeds with non-overlapping ranges. This also improves on the previous best DINOv2 result (1.439 cm CLS last-block).</w:t>
      </w:r>
    </w:p>
    <w:p>
      <w:r>
        <w:rPr>
          <w:b w:val="0"/>
          <w:i w:val="0"/>
        </w:rPr>
        <w:t>Why it is credible: identical dataset, split, inputs, head and metrics; the only change is the token type; three seeds with separated ranges; test set never used for tuning.</w:t>
      </w:r>
    </w:p>
    <w:p>
      <w:r>
        <w:rPr>
          <w:b w:val="0"/>
          <w:i w:val="0"/>
        </w:rPr>
        <w:t>What remains uncertain: whether the small length gaps among the top models are significant (needs multi-seed baselines); whether larger foundation models or patch pooling for CLIP would change the ranking; and the unexplained occluded-set reproduction difference vs the paper.</w:t>
      </w:r>
    </w:p>
    <w:p>
      <w:pPr>
        <w:pStyle w:val="Heading1"/>
      </w:pPr>
      <w:r>
        <w:rPr>
          <w:color w:val="184F95"/>
        </w:rPr>
        <w:t>8. Reproducibility</w:t>
      </w:r>
    </w:p>
    <w:p>
      <w:pPr>
        <w:pStyle w:val="ListBullet"/>
      </w:pPr>
      <w:r>
        <w:t>Fixed seeds; one JSON config per experiment in configs/; official group split hard-coded.</w:t>
      </w:r>
    </w:p>
    <w:p>
      <w:pPr>
        <w:pStyle w:val="ListBullet"/>
      </w:pPr>
      <w:r>
        <w:t>requirements.txt; documented hardware (NVIDIA RTX 5000 Ada, 32 GB); Python 3.11.</w:t>
      </w:r>
    </w:p>
    <w:p>
      <w:pPr>
        <w:pStyle w:val="ListBullet"/>
      </w:pPr>
      <w:r>
        <w:t>Per-run saved: config.json, history.csv, test_metrics.json, per-fish predictions CSV; checkpoints on the training server.</w:t>
      </w:r>
    </w:p>
    <w:p>
      <w:pPr>
        <w:pStyle w:val="ListBullet"/>
      </w:pPr>
      <w:r>
        <w:t>Persistent experiment queues: scripts/run_new_experiments.sh, scripts/run_classification_queue.sh.</w:t>
      </w:r>
    </w:p>
    <w:p>
      <w:pPr>
        <w:pStyle w:val="ListBullet"/>
      </w:pPr>
      <w:r>
        <w:t>AI-assistance disclosed; all experiments and conclusions verified by 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