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B9021" w14:textId="77777777" w:rsidR="00B04E6B" w:rsidRDefault="00000000">
      <w:r>
        <w:t>IBS ANALYSIS</w:t>
      </w:r>
    </w:p>
    <w:p w14:paraId="2A659527" w14:textId="77777777" w:rsidR="00A32176" w:rsidRPr="00A32176" w:rsidRDefault="00A32176" w:rsidP="00A32176">
      <w:pPr>
        <w:rPr>
          <w:b/>
          <w:bCs/>
        </w:rPr>
      </w:pPr>
      <w:r w:rsidRPr="00A32176">
        <w:rPr>
          <w:b/>
          <w:bCs/>
        </w:rPr>
        <w:t>Results</w:t>
      </w:r>
    </w:p>
    <w:p w14:paraId="1617BE41" w14:textId="77777777" w:rsidR="00A32176" w:rsidRPr="00A32176" w:rsidRDefault="00A32176" w:rsidP="00A32176">
      <w:r w:rsidRPr="00A32176">
        <w:t xml:space="preserve">A total of </w:t>
      </w:r>
      <w:r w:rsidRPr="00A32176">
        <w:rPr>
          <w:b/>
          <w:bCs/>
        </w:rPr>
        <w:t>320 participants</w:t>
      </w:r>
      <w:r w:rsidRPr="00A32176">
        <w:t xml:space="preserve"> were included in the analysis. The study population was predominantly composed of </w:t>
      </w:r>
      <w:r w:rsidRPr="00A32176">
        <w:rPr>
          <w:b/>
          <w:bCs/>
        </w:rPr>
        <w:t>homemakers (48.4%)</w:t>
      </w:r>
      <w:r w:rsidRPr="00A32176">
        <w:t xml:space="preserve">, followed by </w:t>
      </w:r>
      <w:r w:rsidRPr="00A32176">
        <w:rPr>
          <w:b/>
          <w:bCs/>
        </w:rPr>
        <w:t>students (13.4%)</w:t>
      </w:r>
      <w:r w:rsidRPr="00A32176">
        <w:t xml:space="preserve">, with the remaining participants distributed across various occupational groups. Participants were relatively evenly represented across the principal age categories of </w:t>
      </w:r>
      <w:r w:rsidRPr="00A32176">
        <w:rPr>
          <w:b/>
          <w:bCs/>
        </w:rPr>
        <w:t>18–32 years (32.8%)</w:t>
      </w:r>
      <w:r w:rsidRPr="00A32176">
        <w:t xml:space="preserve">, </w:t>
      </w:r>
      <w:r w:rsidRPr="00A32176">
        <w:rPr>
          <w:b/>
          <w:bCs/>
        </w:rPr>
        <w:t>33–47 years (34.7%)</w:t>
      </w:r>
      <w:r w:rsidRPr="00A32176">
        <w:t xml:space="preserve">, and </w:t>
      </w:r>
      <w:r w:rsidRPr="00A32176">
        <w:rPr>
          <w:b/>
          <w:bCs/>
        </w:rPr>
        <w:t>48–62 years (31.2%)</w:t>
      </w:r>
      <w:r w:rsidRPr="00A32176">
        <w:t>, indicating a well-distributed adult study population.</w:t>
      </w:r>
    </w:p>
    <w:p w14:paraId="27EA8939" w14:textId="77777777" w:rsidR="00A32176" w:rsidRPr="00A32176" w:rsidRDefault="00A32176" w:rsidP="00A32176">
      <w:r w:rsidRPr="00A32176">
        <w:t xml:space="preserve">Item-wise analysis of the </w:t>
      </w:r>
      <w:r w:rsidRPr="00A32176">
        <w:rPr>
          <w:b/>
          <w:bCs/>
        </w:rPr>
        <w:t>Perceived Stress Scale (PSS-10)</w:t>
      </w:r>
      <w:r w:rsidRPr="00A32176">
        <w:t xml:space="preserve"> demonstrated substantial variability in participants' perceived stress. Responses indicated that feelings of being </w:t>
      </w:r>
      <w:r w:rsidRPr="00A32176">
        <w:rPr>
          <w:b/>
          <w:bCs/>
        </w:rPr>
        <w:t>stressed</w:t>
      </w:r>
      <w:r w:rsidRPr="00A32176">
        <w:t xml:space="preserve">, </w:t>
      </w:r>
      <w:r w:rsidRPr="00A32176">
        <w:rPr>
          <w:b/>
          <w:bCs/>
        </w:rPr>
        <w:t>angered by external events</w:t>
      </w:r>
      <w:r w:rsidRPr="00A32176">
        <w:t xml:space="preserve">, and </w:t>
      </w:r>
      <w:r w:rsidRPr="00A32176">
        <w:rPr>
          <w:b/>
          <w:bCs/>
        </w:rPr>
        <w:t>unable to cope with responsibilities</w:t>
      </w:r>
      <w:r w:rsidRPr="00A32176">
        <w:t xml:space="preserve"> were commonly reported, whereas reverse-scored items reflected relatively better perceived coping ability. Notably, </w:t>
      </w:r>
      <w:r w:rsidRPr="00A32176">
        <w:rPr>
          <w:b/>
          <w:bCs/>
        </w:rPr>
        <w:t>45.9%</w:t>
      </w:r>
      <w:r w:rsidRPr="00A32176">
        <w:t xml:space="preserve"> of participants reported being </w:t>
      </w:r>
      <w:r w:rsidRPr="00A32176">
        <w:rPr>
          <w:i/>
          <w:iCs/>
        </w:rPr>
        <w:t>very often confident in handling personal problems</w:t>
      </w:r>
      <w:r w:rsidRPr="00A32176">
        <w:t xml:space="preserve">, while </w:t>
      </w:r>
      <w:r w:rsidRPr="00A32176">
        <w:rPr>
          <w:b/>
          <w:bCs/>
        </w:rPr>
        <w:t>34.7%</w:t>
      </w:r>
      <w:r w:rsidRPr="00A32176">
        <w:t xml:space="preserve"> reported </w:t>
      </w:r>
      <w:r w:rsidRPr="00A32176">
        <w:rPr>
          <w:i/>
          <w:iCs/>
        </w:rPr>
        <w:t>very often being able to control irritations</w:t>
      </w:r>
      <w:r w:rsidRPr="00A32176">
        <w:t>, suggesting that despite experiencing stress, many participants retained elements of adaptive coping. Overall, the PSS findings indicate considerable heterogeneity in psychological stress and coping mechanisms within the study population.</w:t>
      </w:r>
    </w:p>
    <w:p w14:paraId="6B9F1FBA" w14:textId="77777777" w:rsidR="00A32176" w:rsidRPr="00A32176" w:rsidRDefault="00A32176" w:rsidP="00A32176">
      <w:r w:rsidRPr="00A32176">
        <w:t xml:space="preserve">Based on total PSS-10 scores, </w:t>
      </w:r>
      <w:r w:rsidRPr="00A32176">
        <w:rPr>
          <w:b/>
          <w:bCs/>
        </w:rPr>
        <w:t>88 (27.5%)</w:t>
      </w:r>
      <w:r w:rsidRPr="00A32176">
        <w:t xml:space="preserve"> participants were classified as having </w:t>
      </w:r>
      <w:r w:rsidRPr="00A32176">
        <w:rPr>
          <w:b/>
          <w:bCs/>
        </w:rPr>
        <w:t>low perceived stress</w:t>
      </w:r>
      <w:r w:rsidRPr="00A32176">
        <w:t xml:space="preserve">, </w:t>
      </w:r>
      <w:r w:rsidRPr="00A32176">
        <w:rPr>
          <w:b/>
          <w:bCs/>
        </w:rPr>
        <w:t>203 (63.4%)</w:t>
      </w:r>
      <w:r w:rsidRPr="00A32176">
        <w:t xml:space="preserve"> as having </w:t>
      </w:r>
      <w:r w:rsidRPr="00A32176">
        <w:rPr>
          <w:b/>
          <w:bCs/>
        </w:rPr>
        <w:t>moderate perceived stress</w:t>
      </w:r>
      <w:r w:rsidRPr="00A32176">
        <w:t xml:space="preserve">, and </w:t>
      </w:r>
      <w:r w:rsidRPr="00A32176">
        <w:rPr>
          <w:b/>
          <w:bCs/>
        </w:rPr>
        <w:t>29 (9.1%)</w:t>
      </w:r>
      <w:r w:rsidRPr="00A32176">
        <w:t xml:space="preserve"> as having </w:t>
      </w:r>
      <w:r w:rsidRPr="00A32176">
        <w:rPr>
          <w:b/>
          <w:bCs/>
        </w:rPr>
        <w:t>high perceived stress</w:t>
      </w:r>
      <w:r w:rsidRPr="00A32176">
        <w:t>, demonstrating that nearly two-thirds of the study population experienced moderate levels of perceived stress.</w:t>
      </w:r>
    </w:p>
    <w:p w14:paraId="52912279" w14:textId="77777777" w:rsidR="00A32176" w:rsidRPr="00A32176" w:rsidRDefault="00A32176" w:rsidP="00A32176">
      <w:r w:rsidRPr="00A32176">
        <w:t xml:space="preserve">The relationship between perceived stress level and IBS symptom domains was assessed using the </w:t>
      </w:r>
      <w:r w:rsidRPr="00A32176">
        <w:rPr>
          <w:b/>
          <w:bCs/>
        </w:rPr>
        <w:t>Chi-square test of independence</w:t>
      </w:r>
      <w:r w:rsidRPr="00A32176">
        <w:t xml:space="preserve">. Significant associations were observed between perceived stress level and </w:t>
      </w:r>
      <w:r w:rsidRPr="00A32176">
        <w:rPr>
          <w:b/>
          <w:bCs/>
        </w:rPr>
        <w:t>pain severity</w:t>
      </w:r>
      <w:r w:rsidRPr="00A32176">
        <w:t xml:space="preserve"> (χ² = 18.88, </w:t>
      </w:r>
      <w:r w:rsidRPr="00A32176">
        <w:rPr>
          <w:i/>
          <w:iCs/>
        </w:rPr>
        <w:t>p</w:t>
      </w:r>
      <w:r w:rsidRPr="00A32176">
        <w:t xml:space="preserve"> = 0.0155), </w:t>
      </w:r>
      <w:r w:rsidRPr="00A32176">
        <w:rPr>
          <w:b/>
          <w:bCs/>
        </w:rPr>
        <w:t>abdominal distension severity</w:t>
      </w:r>
      <w:r w:rsidRPr="00A32176">
        <w:t xml:space="preserve"> (χ² = 39.60, </w:t>
      </w:r>
      <w:r w:rsidRPr="00A32176">
        <w:rPr>
          <w:i/>
          <w:iCs/>
        </w:rPr>
        <w:t>p</w:t>
      </w:r>
      <w:r w:rsidRPr="00A32176">
        <w:t xml:space="preserve"> &lt; 0.001), </w:t>
      </w:r>
      <w:r w:rsidRPr="00A32176">
        <w:rPr>
          <w:b/>
          <w:bCs/>
        </w:rPr>
        <w:t>bowel satisfaction</w:t>
      </w:r>
      <w:r w:rsidRPr="00A32176">
        <w:t xml:space="preserve"> (χ² = 15.98, </w:t>
      </w:r>
      <w:r w:rsidRPr="00A32176">
        <w:rPr>
          <w:i/>
          <w:iCs/>
        </w:rPr>
        <w:t>p</w:t>
      </w:r>
      <w:r w:rsidRPr="00A32176">
        <w:t xml:space="preserve"> = 0.003), and </w:t>
      </w:r>
      <w:r w:rsidRPr="00A32176">
        <w:rPr>
          <w:b/>
          <w:bCs/>
        </w:rPr>
        <w:t>daily life interference</w:t>
      </w:r>
      <w:r w:rsidRPr="00A32176">
        <w:t xml:space="preserve"> due to IBS symptoms (χ² = 23.34, </w:t>
      </w:r>
      <w:r w:rsidRPr="00A32176">
        <w:rPr>
          <w:i/>
          <w:iCs/>
        </w:rPr>
        <w:t>p</w:t>
      </w:r>
      <w:r w:rsidRPr="00A32176">
        <w:t xml:space="preserve"> &lt; 0.001). Among these, the strongest statistical associations were observed for </w:t>
      </w:r>
      <w:r w:rsidRPr="00A32176">
        <w:rPr>
          <w:b/>
          <w:bCs/>
        </w:rPr>
        <w:t>abdominal distension</w:t>
      </w:r>
      <w:r w:rsidRPr="00A32176">
        <w:t xml:space="preserve"> and </w:t>
      </w:r>
      <w:r w:rsidRPr="00A32176">
        <w:rPr>
          <w:b/>
          <w:bCs/>
        </w:rPr>
        <w:t>interference with daily activities</w:t>
      </w:r>
      <w:r w:rsidRPr="00A32176">
        <w:t>, suggesting that increasing psychological stress is associated not only with greater symptom severity but also with a greater impact of IBS on patients' functional wellbeing.</w:t>
      </w:r>
    </w:p>
    <w:p w14:paraId="24E45832" w14:textId="77777777" w:rsidR="00A32176" w:rsidRPr="00A32176" w:rsidRDefault="00A32176" w:rsidP="00A32176">
      <w:r w:rsidRPr="00A32176">
        <w:t xml:space="preserve">Spearman's rank correlation analysis further supported these findings by demonstrating positive monotonic correlations between </w:t>
      </w:r>
      <w:r w:rsidRPr="00A32176">
        <w:rPr>
          <w:b/>
          <w:bCs/>
        </w:rPr>
        <w:t>total PSS score</w:t>
      </w:r>
      <w:r w:rsidRPr="00A32176">
        <w:t xml:space="preserve"> and all evaluated IBS symptom domains. The correlation heatmap illustrated a consistent pattern whereby increasing perceived stress was accompanied by greater IBS symptom burden across multiple clinical dimensions, reinforcing the associations observed in the categorical analyses.</w:t>
      </w:r>
    </w:p>
    <w:p w14:paraId="671840A4" w14:textId="77777777" w:rsidR="00A32176" w:rsidRPr="00A32176" w:rsidRDefault="00A32176" w:rsidP="00A32176">
      <w:r w:rsidRPr="00A32176">
        <w:t xml:space="preserve">The distribution of </w:t>
      </w:r>
      <w:proofErr w:type="spellStart"/>
      <w:r w:rsidRPr="00A32176">
        <w:rPr>
          <w:b/>
          <w:bCs/>
        </w:rPr>
        <w:t>Pain_Days</w:t>
      </w:r>
      <w:proofErr w:type="spellEnd"/>
      <w:r w:rsidRPr="00A32176">
        <w:t xml:space="preserve"> was subsequently evaluated using the </w:t>
      </w:r>
      <w:r w:rsidRPr="00A32176">
        <w:rPr>
          <w:b/>
          <w:bCs/>
        </w:rPr>
        <w:t>Shapiro–Wilk normality test</w:t>
      </w:r>
      <w:r w:rsidRPr="00A32176">
        <w:t xml:space="preserve">, which demonstrated a significant deviation from normality (W = 0.672, </w:t>
      </w:r>
      <w:r w:rsidRPr="00A32176">
        <w:rPr>
          <w:i/>
          <w:iCs/>
        </w:rPr>
        <w:t>p</w:t>
      </w:r>
      <w:r w:rsidRPr="00A32176">
        <w:t xml:space="preserve"> &lt; 0.001). </w:t>
      </w:r>
      <w:r w:rsidRPr="00A32176">
        <w:lastRenderedPageBreak/>
        <w:t xml:space="preserve">Consequently, non-parametric statistical methods were considered appropriate for further analysis. Comparison of pain duration across the three stress categories using the </w:t>
      </w:r>
      <w:r w:rsidRPr="00A32176">
        <w:rPr>
          <w:b/>
          <w:bCs/>
        </w:rPr>
        <w:t>Kruskal–Wallis H test</w:t>
      </w:r>
      <w:r w:rsidRPr="00A32176">
        <w:t xml:space="preserve"> demonstrated a statistically significant difference in </w:t>
      </w:r>
      <w:proofErr w:type="spellStart"/>
      <w:r w:rsidRPr="00A32176">
        <w:rPr>
          <w:b/>
          <w:bCs/>
        </w:rPr>
        <w:t>Pain_Days</w:t>
      </w:r>
      <w:proofErr w:type="spellEnd"/>
      <w:r w:rsidRPr="00A32176">
        <w:t xml:space="preserve"> among participants with low, moderate, and high perceived stress (H = 15.94, </w:t>
      </w:r>
      <w:r w:rsidRPr="00A32176">
        <w:rPr>
          <w:i/>
          <w:iCs/>
        </w:rPr>
        <w:t>p</w:t>
      </w:r>
      <w:r w:rsidRPr="00A32176">
        <w:t xml:space="preserve"> &lt; 0.001), indicating that the duration of abdominal pain varied significantly according to perceived stress level.</w:t>
      </w:r>
    </w:p>
    <w:p w14:paraId="2874C28C" w14:textId="77777777" w:rsidR="00A32176" w:rsidRPr="00A32176" w:rsidRDefault="00A32176" w:rsidP="00A32176">
      <w:r w:rsidRPr="00A32176">
        <w:t xml:space="preserve">To identify the specific groups responsible for this overall difference, </w:t>
      </w:r>
      <w:r w:rsidRPr="00A32176">
        <w:rPr>
          <w:b/>
          <w:bCs/>
        </w:rPr>
        <w:t>Dunn's post hoc test with Bonferroni correction</w:t>
      </w:r>
      <w:r w:rsidRPr="00A32176">
        <w:t xml:space="preserve"> was performed. Significant differences were observed between </w:t>
      </w:r>
      <w:r w:rsidRPr="00A32176">
        <w:rPr>
          <w:b/>
          <w:bCs/>
        </w:rPr>
        <w:t>low and moderate stress</w:t>
      </w:r>
      <w:r w:rsidRPr="00A32176">
        <w:t xml:space="preserve"> (</w:t>
      </w:r>
      <w:r w:rsidRPr="00A32176">
        <w:rPr>
          <w:i/>
          <w:iCs/>
        </w:rPr>
        <w:t>p</w:t>
      </w:r>
      <w:r w:rsidRPr="00A32176">
        <w:t xml:space="preserve"> = 0.0279), </w:t>
      </w:r>
      <w:r w:rsidRPr="00A32176">
        <w:rPr>
          <w:b/>
          <w:bCs/>
        </w:rPr>
        <w:t>low and high stress</w:t>
      </w:r>
      <w:r w:rsidRPr="00A32176">
        <w:t xml:space="preserve"> (</w:t>
      </w:r>
      <w:r w:rsidRPr="00A32176">
        <w:rPr>
          <w:i/>
          <w:iCs/>
        </w:rPr>
        <w:t>p</w:t>
      </w:r>
      <w:r w:rsidRPr="00A32176">
        <w:t xml:space="preserve"> = 0.0004), and </w:t>
      </w:r>
      <w:r w:rsidRPr="00A32176">
        <w:rPr>
          <w:b/>
          <w:bCs/>
        </w:rPr>
        <w:t>moderate and high stress</w:t>
      </w:r>
      <w:r w:rsidRPr="00A32176">
        <w:t xml:space="preserve"> (</w:t>
      </w:r>
      <w:r w:rsidRPr="00A32176">
        <w:rPr>
          <w:i/>
          <w:iCs/>
        </w:rPr>
        <w:t>p</w:t>
      </w:r>
      <w:r w:rsidRPr="00A32176">
        <w:t xml:space="preserve"> = 0.0441). The persistence of statistical significance across all pairwise comparisons demonstrates a progressive relationship between perceived stress and abdominal pain duration, with each successive increase in stress level being associated with a significant change in pain duration. This finding provides additional evidence of a dose–response pattern linking psychological stress with IBS symptom burden.</w:t>
      </w:r>
    </w:p>
    <w:p w14:paraId="22584F13" w14:textId="77777777" w:rsidR="00A32176" w:rsidRPr="00A32176" w:rsidRDefault="00A32176" w:rsidP="00A32176">
      <w:r w:rsidRPr="00A32176">
        <w:t xml:space="preserve">Overall, the descriptive, inferential, and correlational analyses consistently demonstrated that higher perceived stress was associated with </w:t>
      </w:r>
      <w:r w:rsidRPr="00A32176">
        <w:rPr>
          <w:b/>
          <w:bCs/>
        </w:rPr>
        <w:t>more severe IBS symptoms, longer duration of abdominal pain, poorer bowel satisfaction, greater abdominal distension, and increased interference with daily activities</w:t>
      </w:r>
      <w:r w:rsidRPr="00A32176">
        <w:t>. The concordance between the Chi-square analyses, Spearman correlation, Kruskal–Wallis test, and Dunn's post hoc comparisons provides robust and internally consistent evidence supporting a significant association between perceived psychological stress and the clinical manifestations of IBS. While the cross-sectional nature of the study precludes causal inference, the findings suggest that psychological stress is closely associated with both the severity and functional impact of IBS symptoms in this study population.</w:t>
      </w:r>
    </w:p>
    <w:p w14:paraId="0504DDD3" w14:textId="77777777" w:rsidR="00A32176" w:rsidRPr="00A32176" w:rsidRDefault="00A32176" w:rsidP="00A32176">
      <w:pPr>
        <w:rPr>
          <w:b/>
          <w:bCs/>
        </w:rPr>
      </w:pPr>
      <w:r w:rsidRPr="00A32176">
        <w:rPr>
          <w:b/>
          <w:bCs/>
        </w:rPr>
        <w:t>Discussion</w:t>
      </w:r>
    </w:p>
    <w:p w14:paraId="26BE8F11" w14:textId="77777777" w:rsidR="00A32176" w:rsidRPr="00A32176" w:rsidRDefault="00A32176" w:rsidP="00A32176">
      <w:r w:rsidRPr="00A32176">
        <w:t>This study demonstrates a consistent and statistically significant association between perceived psychological stress and multiple dimensions of irritable bowel syndrome (IBS). Participants with higher perceived stress experienced significantly greater symptom burden, including increased pain severity, abdominal distension, poorer bowel satisfaction, longer duration of abdominal pain, and greater interference of IBS symptoms with daily activities. The consistency of these findings across multiple statistical approaches—including Chi-square analysis, Spearman's rank correlation, Kruskal–Wallis testing, and Dunn's post hoc comparisons—strengthens the overall evidence supporting an association between perceived stress and IBS symptom severity.</w:t>
      </w:r>
    </w:p>
    <w:p w14:paraId="7783477B" w14:textId="77777777" w:rsidR="00A32176" w:rsidRPr="00A32176" w:rsidRDefault="00A32176" w:rsidP="00A32176">
      <w:r w:rsidRPr="00A32176">
        <w:t xml:space="preserve">The study population was predominantly categorized as having </w:t>
      </w:r>
      <w:r w:rsidRPr="00A32176">
        <w:rPr>
          <w:b/>
          <w:bCs/>
        </w:rPr>
        <w:t>moderate perceived stress (63.4%)</w:t>
      </w:r>
      <w:r w:rsidRPr="00A32176">
        <w:t xml:space="preserve">, while approximately one in ten participants exhibited high stress levels. Although severe psychological stress was relatively uncommon, even moderate stress was associated with significantly worse IBS-related outcomes. This finding is clinically relevant because it suggests </w:t>
      </w:r>
      <w:r w:rsidRPr="00A32176">
        <w:lastRenderedPageBreak/>
        <w:t>that symptom burden may progressively increase before individuals reach the highest stress category, emphasizing the importance of early recognition and management of psychological stress among patients with IBS.</w:t>
      </w:r>
    </w:p>
    <w:p w14:paraId="025A1E64" w14:textId="77777777" w:rsidR="00A32176" w:rsidRPr="00A32176" w:rsidRDefault="00A32176" w:rsidP="00A32176">
      <w:r w:rsidRPr="00A32176">
        <w:t>Item-wise analysis of the Perceived Stress Scale further supports this observation. Participants frequently reported feeling stressed, angered by external events, and unable to cope with everyday demands. Interestingly, many participants also reported high levels of confidence in handling personal problems and maintaining control over irritations. This pattern suggests that despite possessing adaptive coping abilities, a considerable proportion of individuals continued to experience substantial perceived stress. Such findings highlight the multifactorial nature of psychological stress, where effective coping strategies may coexist with persistent environmental or psychosocial stressors.</w:t>
      </w:r>
    </w:p>
    <w:p w14:paraId="564C9A99" w14:textId="77777777" w:rsidR="00A32176" w:rsidRPr="00A32176" w:rsidRDefault="00A32176" w:rsidP="00A32176">
      <w:r w:rsidRPr="00A32176">
        <w:t xml:space="preserve">The observed associations between perceived stress and IBS symptom domains are biologically plausible. Increasing evidence supports the role of the </w:t>
      </w:r>
      <w:r w:rsidRPr="00A32176">
        <w:rPr>
          <w:b/>
          <w:bCs/>
        </w:rPr>
        <w:t>brain–gut axis</w:t>
      </w:r>
      <w:r w:rsidRPr="00A32176">
        <w:t>, through which psychological stress influences gastrointestinal function via bidirectional communication between the central nervous system, enteric nervous system, autonomic pathways, immune mediators, and the hypothalamic–pituitary–adrenal (HPA) axis. Stress-induced alterations in gut motility, visceral hypersensitivity, intestinal permeability, mucosal immune activation, and gut microbiota composition have all been implicated in the pathophysiology of IBS. Consequently, individuals experiencing higher levels of perceived stress may develop more severe gastrointestinal symptoms and greater impairment in daily functioning.</w:t>
      </w:r>
    </w:p>
    <w:p w14:paraId="53D3C93B" w14:textId="77777777" w:rsidR="00A32176" w:rsidRPr="00A32176" w:rsidRDefault="00A32176" w:rsidP="00A32176">
      <w:r w:rsidRPr="00A32176">
        <w:t xml:space="preserve">Among the IBS symptom domains evaluated, the strongest statistical associations were observed for </w:t>
      </w:r>
      <w:r w:rsidRPr="00A32176">
        <w:rPr>
          <w:b/>
          <w:bCs/>
        </w:rPr>
        <w:t>abdominal distension</w:t>
      </w:r>
      <w:r w:rsidRPr="00A32176">
        <w:t xml:space="preserve"> and </w:t>
      </w:r>
      <w:r w:rsidRPr="00A32176">
        <w:rPr>
          <w:b/>
          <w:bCs/>
        </w:rPr>
        <w:t>interference with daily activities</w:t>
      </w:r>
      <w:r w:rsidRPr="00A32176">
        <w:t>. These findings suggest that psychological stress may have a greater influence on patients' perceived symptom burden and functional limitations than on isolated symptom intensity alone. As IBS is increasingly recognized as a disorder affecting quality of life rather than solely gastrointestinal symptoms, these observations reinforce the importance of incorporating patient-reported functional outcomes into clinical assessment.</w:t>
      </w:r>
    </w:p>
    <w:p w14:paraId="7EDBD19E" w14:textId="77777777" w:rsidR="00A32176" w:rsidRPr="00A32176" w:rsidRDefault="00A32176" w:rsidP="00A32176">
      <w:r w:rsidRPr="00A32176">
        <w:t xml:space="preserve">An important strength of the present study is the inclusion of </w:t>
      </w:r>
      <w:proofErr w:type="spellStart"/>
      <w:r w:rsidRPr="00A32176">
        <w:rPr>
          <w:b/>
          <w:bCs/>
        </w:rPr>
        <w:t>Pain_Days</w:t>
      </w:r>
      <w:proofErr w:type="spellEnd"/>
      <w:r w:rsidRPr="00A32176">
        <w:t xml:space="preserve"> as a continuous measure of symptom burden. Because the variable was not normally distributed according to the Shapiro–Wilk test, appropriate non-parametric methods were employed. The Kruskal–Wallis analysis demonstrated significant differences in pain duration across stress categories, while Dunn's post hoc test further revealed statistically significant differences between </w:t>
      </w:r>
      <w:r w:rsidRPr="00A32176">
        <w:rPr>
          <w:b/>
          <w:bCs/>
        </w:rPr>
        <w:t>all pairwise stress groups</w:t>
      </w:r>
      <w:r w:rsidRPr="00A32176">
        <w:t xml:space="preserve">. This graded pattern suggests a possible </w:t>
      </w:r>
      <w:r w:rsidRPr="00A32176">
        <w:rPr>
          <w:b/>
          <w:bCs/>
        </w:rPr>
        <w:t>dose–response relationship</w:t>
      </w:r>
      <w:r w:rsidRPr="00A32176">
        <w:t>, whereby progressive increases in perceived stress are accompanied by progressively longer durations of abdominal pain. Such findings extend previous literature by demonstrating that stress may influence not only symptom severity but also symptom persistence.</w:t>
      </w:r>
    </w:p>
    <w:p w14:paraId="52059DE6" w14:textId="77777777" w:rsidR="00A32176" w:rsidRPr="00A32176" w:rsidRDefault="00A32176" w:rsidP="00A32176">
      <w:r w:rsidRPr="00A32176">
        <w:lastRenderedPageBreak/>
        <w:t>The correlation analysis further complements these findings by demonstrating positive monotonic relationships between perceived stress and all evaluated IBS symptom domains. The concordance between correlation analyses and categorical comparisons provides internally consistent evidence that the observed associations are robust across different statistical methodologies. This methodological consistency increases confidence that the findings are unlikely to represent isolated statistical observations.</w:t>
      </w:r>
    </w:p>
    <w:p w14:paraId="3C875201" w14:textId="77777777" w:rsidR="00A32176" w:rsidRPr="00A32176" w:rsidRDefault="00A32176" w:rsidP="00A32176">
      <w:r w:rsidRPr="00A32176">
        <w:t>The present findings are consistent with previous international studies reporting significant associations between psychological stress and IBS severity. Numerous investigations have demonstrated that individuals with higher levels of perceived stress frequently report greater abdominal pain, bloating, altered bowel habits, and poorer health-related quality of life. The current study adds to this body of evidence by simultaneously evaluating multiple symptom domains and demonstrating that the relationship remains significant across both categorical and continuous outcome measures.</w:t>
      </w:r>
    </w:p>
    <w:p w14:paraId="2E61B4D9" w14:textId="77777777" w:rsidR="00A32176" w:rsidRPr="00A32176" w:rsidRDefault="00A32176" w:rsidP="00A32176">
      <w:r w:rsidRPr="00A32176">
        <w:t>Several limitations should be acknowledged. First, the cross-sectional study design precludes determination of temporal or causal relationships between psychological stress and IBS symptoms. It remains possible that severe IBS symptoms increase perceived stress, that psychological stress exacerbates IBS manifestations, or that both processes occur simultaneously through bidirectional brain–gut interactions. Second, stress was assessed using self-reported questionnaire data, which may be influenced by recall or response bias. Finally, the study population was predominantly composed of homemakers, which may limit the generalizability of the findings to other occupational or demographic groups.</w:t>
      </w:r>
    </w:p>
    <w:p w14:paraId="7563C36B" w14:textId="77777777" w:rsidR="00A32176" w:rsidRPr="00A32176" w:rsidRDefault="00A32176" w:rsidP="00A32176">
      <w:r w:rsidRPr="00A32176">
        <w:t>Despite these limitations, the study possesses several important strengths. Standardized and validated instruments were used to assess perceived stress, appropriate statistical methods were selected according to data distribution, and multiple complementary analytical approaches consistently demonstrated similar findings. The inclusion of post hoc analyses further strengthened the interpretation of differences observed across stress categories.</w:t>
      </w:r>
    </w:p>
    <w:p w14:paraId="0F4CD0DE" w14:textId="77777777" w:rsidR="00A32176" w:rsidRPr="00A32176" w:rsidRDefault="00A32176" w:rsidP="00A32176">
      <w:r w:rsidRPr="00A32176">
        <w:t>In conclusion, the present study demonstrates that perceived psychological stress is significantly associated with increased IBS symptom severity, longer duration of abdominal pain, poorer bowel satisfaction, greater abdominal distension, and increased interference with daily activities. The graded differences observed across stress categories suggest that even moderate increases in perceived stress may be associated with clinically meaningful worsening of IBS symptoms. These findings support the integration of psychological assessment and stress-management strategies into the comprehensive clinical management of patients with IBS and highlight the importance of adopting a biopsychosocial approach to improve patient outcomes.</w:t>
      </w:r>
    </w:p>
    <w:p w14:paraId="327FE87E" w14:textId="77777777" w:rsidR="00A32176" w:rsidRDefault="00A32176"/>
    <w:p w14:paraId="0D053921" w14:textId="77777777" w:rsidR="00B04E6B" w:rsidRDefault="00000000">
      <w:r>
        <w:lastRenderedPageBreak/>
        <w:t>Table 1: Demographics</w:t>
      </w:r>
    </w:p>
    <w:tbl>
      <w:tblPr>
        <w:tblW w:w="6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2400"/>
        <w:gridCol w:w="1575"/>
        <w:gridCol w:w="1335"/>
      </w:tblGrid>
      <w:tr w:rsidR="00B04E6B" w14:paraId="7DCE98D6" w14:textId="77777777">
        <w:trPr>
          <w:trHeight w:val="300"/>
        </w:trPr>
        <w:tc>
          <w:tcPr>
            <w:tcW w:w="1665" w:type="dxa"/>
            <w:noWrap/>
          </w:tcPr>
          <w:p w14:paraId="1C6D5320"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Variable</w:t>
            </w:r>
          </w:p>
        </w:tc>
        <w:tc>
          <w:tcPr>
            <w:tcW w:w="2400" w:type="dxa"/>
            <w:noWrap/>
          </w:tcPr>
          <w:p w14:paraId="291AA594"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Category</w:t>
            </w:r>
          </w:p>
        </w:tc>
        <w:tc>
          <w:tcPr>
            <w:tcW w:w="1575" w:type="dxa"/>
            <w:noWrap/>
          </w:tcPr>
          <w:p w14:paraId="7E4EE605"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Frequency</w:t>
            </w:r>
          </w:p>
        </w:tc>
        <w:tc>
          <w:tcPr>
            <w:tcW w:w="1335" w:type="dxa"/>
            <w:noWrap/>
          </w:tcPr>
          <w:p w14:paraId="33DB440E"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Percentage (%)</w:t>
            </w:r>
          </w:p>
        </w:tc>
      </w:tr>
      <w:tr w:rsidR="00B04E6B" w14:paraId="041E724E" w14:textId="77777777">
        <w:trPr>
          <w:trHeight w:val="300"/>
        </w:trPr>
        <w:tc>
          <w:tcPr>
            <w:tcW w:w="1665" w:type="dxa"/>
            <w:noWrap/>
            <w:vAlign w:val="bottom"/>
          </w:tcPr>
          <w:p w14:paraId="79CA3C14" w14:textId="77777777" w:rsidR="00B04E6B" w:rsidRDefault="00000000">
            <w:pPr>
              <w:spacing w:after="0" w:line="240" w:lineRule="auto"/>
              <w:rPr>
                <w:rFonts w:ascii="Calibri" w:eastAsia="Times New Roman" w:hAnsi="Calibri" w:cs="Calibri"/>
                <w:color w:val="000000"/>
                <w:kern w:val="0"/>
                <w:sz w:val="22"/>
                <w:szCs w:val="22"/>
                <w14:ligatures w14:val="none"/>
              </w:rPr>
            </w:pPr>
            <w:proofErr w:type="spellStart"/>
            <w:r>
              <w:rPr>
                <w:rFonts w:ascii="Calibri" w:eastAsia="Times New Roman" w:hAnsi="Calibri" w:cs="Calibri"/>
                <w:color w:val="000000"/>
                <w:kern w:val="0"/>
                <w:sz w:val="22"/>
                <w:szCs w:val="22"/>
                <w14:ligatures w14:val="none"/>
              </w:rPr>
              <w:t>Age_Group</w:t>
            </w:r>
            <w:proofErr w:type="spellEnd"/>
          </w:p>
        </w:tc>
        <w:tc>
          <w:tcPr>
            <w:tcW w:w="2400" w:type="dxa"/>
            <w:noWrap/>
            <w:vAlign w:val="bottom"/>
          </w:tcPr>
          <w:p w14:paraId="5E6FD2A9"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33-47 years</w:t>
            </w:r>
          </w:p>
        </w:tc>
        <w:tc>
          <w:tcPr>
            <w:tcW w:w="1575" w:type="dxa"/>
            <w:noWrap/>
            <w:vAlign w:val="bottom"/>
          </w:tcPr>
          <w:p w14:paraId="02F17FEE"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111</w:t>
            </w:r>
          </w:p>
        </w:tc>
        <w:tc>
          <w:tcPr>
            <w:tcW w:w="1335" w:type="dxa"/>
            <w:noWrap/>
            <w:vAlign w:val="bottom"/>
          </w:tcPr>
          <w:p w14:paraId="05C57B79"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34.7</w:t>
            </w:r>
          </w:p>
        </w:tc>
      </w:tr>
      <w:tr w:rsidR="00B04E6B" w14:paraId="787BCD00" w14:textId="77777777">
        <w:trPr>
          <w:trHeight w:val="300"/>
        </w:trPr>
        <w:tc>
          <w:tcPr>
            <w:tcW w:w="1665" w:type="dxa"/>
            <w:noWrap/>
            <w:vAlign w:val="bottom"/>
          </w:tcPr>
          <w:p w14:paraId="1F13DE4A"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58437DCC"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18-32 years</w:t>
            </w:r>
          </w:p>
        </w:tc>
        <w:tc>
          <w:tcPr>
            <w:tcW w:w="1575" w:type="dxa"/>
            <w:noWrap/>
            <w:vAlign w:val="bottom"/>
          </w:tcPr>
          <w:p w14:paraId="303DE7E8"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105</w:t>
            </w:r>
          </w:p>
        </w:tc>
        <w:tc>
          <w:tcPr>
            <w:tcW w:w="1335" w:type="dxa"/>
            <w:noWrap/>
            <w:vAlign w:val="bottom"/>
          </w:tcPr>
          <w:p w14:paraId="51F67F3B"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32.8</w:t>
            </w:r>
          </w:p>
        </w:tc>
      </w:tr>
      <w:tr w:rsidR="00B04E6B" w14:paraId="7A03D829" w14:textId="77777777">
        <w:trPr>
          <w:trHeight w:val="300"/>
        </w:trPr>
        <w:tc>
          <w:tcPr>
            <w:tcW w:w="1665" w:type="dxa"/>
            <w:noWrap/>
            <w:vAlign w:val="bottom"/>
          </w:tcPr>
          <w:p w14:paraId="40747FA5"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5051C684"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48-62 years</w:t>
            </w:r>
          </w:p>
        </w:tc>
        <w:tc>
          <w:tcPr>
            <w:tcW w:w="1575" w:type="dxa"/>
            <w:noWrap/>
            <w:vAlign w:val="bottom"/>
          </w:tcPr>
          <w:p w14:paraId="6C398D2B"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w:t>
            </w:r>
          </w:p>
        </w:tc>
        <w:tc>
          <w:tcPr>
            <w:tcW w:w="1335" w:type="dxa"/>
            <w:noWrap/>
            <w:vAlign w:val="bottom"/>
          </w:tcPr>
          <w:p w14:paraId="76E994F1"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31.2</w:t>
            </w:r>
          </w:p>
        </w:tc>
      </w:tr>
      <w:tr w:rsidR="00B04E6B" w14:paraId="7770A060" w14:textId="77777777">
        <w:trPr>
          <w:trHeight w:val="300"/>
        </w:trPr>
        <w:tc>
          <w:tcPr>
            <w:tcW w:w="1665" w:type="dxa"/>
            <w:noWrap/>
            <w:vAlign w:val="bottom"/>
          </w:tcPr>
          <w:p w14:paraId="00888B6B"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1159385A"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18-33 years</w:t>
            </w:r>
          </w:p>
        </w:tc>
        <w:tc>
          <w:tcPr>
            <w:tcW w:w="1575" w:type="dxa"/>
            <w:noWrap/>
            <w:vAlign w:val="bottom"/>
          </w:tcPr>
          <w:p w14:paraId="26D39C2E"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w:t>
            </w:r>
          </w:p>
        </w:tc>
        <w:tc>
          <w:tcPr>
            <w:tcW w:w="1335" w:type="dxa"/>
            <w:noWrap/>
            <w:vAlign w:val="bottom"/>
          </w:tcPr>
          <w:p w14:paraId="1F1B5AA1"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0.6</w:t>
            </w:r>
          </w:p>
        </w:tc>
      </w:tr>
      <w:tr w:rsidR="00B04E6B" w14:paraId="4D8CF77F" w14:textId="77777777">
        <w:trPr>
          <w:trHeight w:val="300"/>
        </w:trPr>
        <w:tc>
          <w:tcPr>
            <w:tcW w:w="1665" w:type="dxa"/>
            <w:noWrap/>
            <w:vAlign w:val="bottom"/>
          </w:tcPr>
          <w:p w14:paraId="36C568D1"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4E52E561"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20-30 years</w:t>
            </w:r>
          </w:p>
        </w:tc>
        <w:tc>
          <w:tcPr>
            <w:tcW w:w="1575" w:type="dxa"/>
            <w:noWrap/>
            <w:vAlign w:val="bottom"/>
          </w:tcPr>
          <w:p w14:paraId="5D3690B4"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w:t>
            </w:r>
          </w:p>
        </w:tc>
        <w:tc>
          <w:tcPr>
            <w:tcW w:w="1335" w:type="dxa"/>
            <w:noWrap/>
            <w:vAlign w:val="bottom"/>
          </w:tcPr>
          <w:p w14:paraId="115A3AC3"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0.3</w:t>
            </w:r>
          </w:p>
        </w:tc>
      </w:tr>
      <w:tr w:rsidR="00B04E6B" w14:paraId="635DF960" w14:textId="77777777">
        <w:trPr>
          <w:trHeight w:val="300"/>
        </w:trPr>
        <w:tc>
          <w:tcPr>
            <w:tcW w:w="1665" w:type="dxa"/>
            <w:noWrap/>
            <w:vAlign w:val="bottom"/>
          </w:tcPr>
          <w:p w14:paraId="33FFA6DE"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71B1636B"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34-49 years</w:t>
            </w:r>
          </w:p>
        </w:tc>
        <w:tc>
          <w:tcPr>
            <w:tcW w:w="1575" w:type="dxa"/>
            <w:noWrap/>
            <w:vAlign w:val="bottom"/>
          </w:tcPr>
          <w:p w14:paraId="3D3FF8BB"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w:t>
            </w:r>
          </w:p>
        </w:tc>
        <w:tc>
          <w:tcPr>
            <w:tcW w:w="1335" w:type="dxa"/>
            <w:noWrap/>
            <w:vAlign w:val="bottom"/>
          </w:tcPr>
          <w:p w14:paraId="5A35F752"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0.3</w:t>
            </w:r>
          </w:p>
        </w:tc>
      </w:tr>
      <w:tr w:rsidR="00B04E6B" w14:paraId="73CA99A7" w14:textId="77777777">
        <w:trPr>
          <w:trHeight w:val="300"/>
        </w:trPr>
        <w:tc>
          <w:tcPr>
            <w:tcW w:w="1665" w:type="dxa"/>
            <w:noWrap/>
            <w:vAlign w:val="bottom"/>
          </w:tcPr>
          <w:p w14:paraId="2734C9FE"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Occupation</w:t>
            </w:r>
          </w:p>
        </w:tc>
        <w:tc>
          <w:tcPr>
            <w:tcW w:w="2400" w:type="dxa"/>
            <w:noWrap/>
            <w:vAlign w:val="bottom"/>
          </w:tcPr>
          <w:p w14:paraId="2F35E141"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Homemaker</w:t>
            </w:r>
          </w:p>
        </w:tc>
        <w:tc>
          <w:tcPr>
            <w:tcW w:w="1575" w:type="dxa"/>
            <w:noWrap/>
            <w:vAlign w:val="bottom"/>
          </w:tcPr>
          <w:p w14:paraId="410F3522"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155</w:t>
            </w:r>
          </w:p>
        </w:tc>
        <w:tc>
          <w:tcPr>
            <w:tcW w:w="1335" w:type="dxa"/>
            <w:noWrap/>
            <w:vAlign w:val="bottom"/>
          </w:tcPr>
          <w:p w14:paraId="7F762DDE"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48.4</w:t>
            </w:r>
          </w:p>
        </w:tc>
      </w:tr>
      <w:tr w:rsidR="00B04E6B" w14:paraId="3396B4B6" w14:textId="77777777">
        <w:trPr>
          <w:trHeight w:val="300"/>
        </w:trPr>
        <w:tc>
          <w:tcPr>
            <w:tcW w:w="1665" w:type="dxa"/>
            <w:noWrap/>
            <w:vAlign w:val="bottom"/>
          </w:tcPr>
          <w:p w14:paraId="3E758D2F"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3EB6251B"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Student</w:t>
            </w:r>
          </w:p>
        </w:tc>
        <w:tc>
          <w:tcPr>
            <w:tcW w:w="1575" w:type="dxa"/>
            <w:noWrap/>
            <w:vAlign w:val="bottom"/>
          </w:tcPr>
          <w:p w14:paraId="6CBA5F43"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43</w:t>
            </w:r>
          </w:p>
        </w:tc>
        <w:tc>
          <w:tcPr>
            <w:tcW w:w="1335" w:type="dxa"/>
            <w:noWrap/>
            <w:vAlign w:val="bottom"/>
          </w:tcPr>
          <w:p w14:paraId="44E5811B"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13.4</w:t>
            </w:r>
          </w:p>
        </w:tc>
      </w:tr>
      <w:tr w:rsidR="00B04E6B" w14:paraId="2F6D33E7" w14:textId="77777777">
        <w:trPr>
          <w:trHeight w:val="300"/>
        </w:trPr>
        <w:tc>
          <w:tcPr>
            <w:tcW w:w="1665" w:type="dxa"/>
            <w:noWrap/>
            <w:vAlign w:val="bottom"/>
          </w:tcPr>
          <w:p w14:paraId="379F8408"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7D98FF8B"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Other</w:t>
            </w:r>
          </w:p>
        </w:tc>
        <w:tc>
          <w:tcPr>
            <w:tcW w:w="1575" w:type="dxa"/>
            <w:noWrap/>
            <w:vAlign w:val="bottom"/>
          </w:tcPr>
          <w:p w14:paraId="71907320"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39</w:t>
            </w:r>
          </w:p>
        </w:tc>
        <w:tc>
          <w:tcPr>
            <w:tcW w:w="1335" w:type="dxa"/>
            <w:noWrap/>
            <w:vAlign w:val="bottom"/>
          </w:tcPr>
          <w:p w14:paraId="4D9D87BD"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12.2</w:t>
            </w:r>
          </w:p>
        </w:tc>
      </w:tr>
      <w:tr w:rsidR="00B04E6B" w14:paraId="200DCAFF" w14:textId="77777777">
        <w:trPr>
          <w:trHeight w:val="300"/>
        </w:trPr>
        <w:tc>
          <w:tcPr>
            <w:tcW w:w="1665" w:type="dxa"/>
            <w:noWrap/>
            <w:vAlign w:val="bottom"/>
          </w:tcPr>
          <w:p w14:paraId="0B6D0162"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6FDAC59F"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Healthcare Professional</w:t>
            </w:r>
          </w:p>
        </w:tc>
        <w:tc>
          <w:tcPr>
            <w:tcW w:w="1575" w:type="dxa"/>
            <w:noWrap/>
            <w:vAlign w:val="bottom"/>
          </w:tcPr>
          <w:p w14:paraId="36DC475E"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22</w:t>
            </w:r>
          </w:p>
        </w:tc>
        <w:tc>
          <w:tcPr>
            <w:tcW w:w="1335" w:type="dxa"/>
            <w:noWrap/>
            <w:vAlign w:val="bottom"/>
          </w:tcPr>
          <w:p w14:paraId="3BAABC7D"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6.9</w:t>
            </w:r>
          </w:p>
        </w:tc>
      </w:tr>
      <w:tr w:rsidR="00B04E6B" w14:paraId="167CDE0B" w14:textId="77777777">
        <w:trPr>
          <w:trHeight w:val="300"/>
        </w:trPr>
        <w:tc>
          <w:tcPr>
            <w:tcW w:w="1665" w:type="dxa"/>
            <w:noWrap/>
            <w:vAlign w:val="bottom"/>
          </w:tcPr>
          <w:p w14:paraId="4C316C55"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1F15CE99"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Teacher/Education</w:t>
            </w:r>
          </w:p>
        </w:tc>
        <w:tc>
          <w:tcPr>
            <w:tcW w:w="1575" w:type="dxa"/>
            <w:noWrap/>
            <w:vAlign w:val="bottom"/>
          </w:tcPr>
          <w:p w14:paraId="22A395A1"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20</w:t>
            </w:r>
          </w:p>
        </w:tc>
        <w:tc>
          <w:tcPr>
            <w:tcW w:w="1335" w:type="dxa"/>
            <w:noWrap/>
            <w:vAlign w:val="bottom"/>
          </w:tcPr>
          <w:p w14:paraId="78B0175A"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6.2</w:t>
            </w:r>
          </w:p>
        </w:tc>
      </w:tr>
      <w:tr w:rsidR="00B04E6B" w14:paraId="393302A2" w14:textId="77777777">
        <w:trPr>
          <w:trHeight w:val="300"/>
        </w:trPr>
        <w:tc>
          <w:tcPr>
            <w:tcW w:w="1665" w:type="dxa"/>
            <w:noWrap/>
            <w:vAlign w:val="bottom"/>
          </w:tcPr>
          <w:p w14:paraId="4F5F19B2"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0E69A95E"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Business/Self-employed</w:t>
            </w:r>
          </w:p>
        </w:tc>
        <w:tc>
          <w:tcPr>
            <w:tcW w:w="1575" w:type="dxa"/>
            <w:noWrap/>
            <w:vAlign w:val="bottom"/>
          </w:tcPr>
          <w:p w14:paraId="06933D9D"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w:t>
            </w:r>
          </w:p>
        </w:tc>
        <w:tc>
          <w:tcPr>
            <w:tcW w:w="1335" w:type="dxa"/>
            <w:noWrap/>
            <w:vAlign w:val="bottom"/>
          </w:tcPr>
          <w:p w14:paraId="59AF67EE"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4.7</w:t>
            </w:r>
          </w:p>
        </w:tc>
      </w:tr>
      <w:tr w:rsidR="00B04E6B" w14:paraId="51EBE30B" w14:textId="77777777">
        <w:trPr>
          <w:trHeight w:val="300"/>
        </w:trPr>
        <w:tc>
          <w:tcPr>
            <w:tcW w:w="1665" w:type="dxa"/>
            <w:noWrap/>
            <w:vAlign w:val="bottom"/>
          </w:tcPr>
          <w:p w14:paraId="74F8CD47"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07E80120"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Office/Service</w:t>
            </w:r>
          </w:p>
        </w:tc>
        <w:tc>
          <w:tcPr>
            <w:tcW w:w="1575" w:type="dxa"/>
            <w:noWrap/>
            <w:vAlign w:val="bottom"/>
          </w:tcPr>
          <w:p w14:paraId="6A7FE47E"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w:t>
            </w:r>
          </w:p>
        </w:tc>
        <w:tc>
          <w:tcPr>
            <w:tcW w:w="1335" w:type="dxa"/>
            <w:noWrap/>
            <w:vAlign w:val="bottom"/>
          </w:tcPr>
          <w:p w14:paraId="476D94A2"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4.1</w:t>
            </w:r>
          </w:p>
        </w:tc>
      </w:tr>
      <w:tr w:rsidR="00B04E6B" w14:paraId="193AA8AC" w14:textId="77777777">
        <w:trPr>
          <w:trHeight w:val="300"/>
        </w:trPr>
        <w:tc>
          <w:tcPr>
            <w:tcW w:w="1665" w:type="dxa"/>
            <w:noWrap/>
            <w:vAlign w:val="bottom"/>
          </w:tcPr>
          <w:p w14:paraId="6171EED1"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6AE3AF40"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Technical/Professional</w:t>
            </w:r>
          </w:p>
        </w:tc>
        <w:tc>
          <w:tcPr>
            <w:tcW w:w="1575" w:type="dxa"/>
            <w:noWrap/>
            <w:vAlign w:val="bottom"/>
          </w:tcPr>
          <w:p w14:paraId="3BC71699"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w:t>
            </w:r>
          </w:p>
        </w:tc>
        <w:tc>
          <w:tcPr>
            <w:tcW w:w="1335" w:type="dxa"/>
            <w:noWrap/>
            <w:vAlign w:val="bottom"/>
          </w:tcPr>
          <w:p w14:paraId="5FBAB83B"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2.8</w:t>
            </w:r>
          </w:p>
        </w:tc>
      </w:tr>
      <w:tr w:rsidR="00B04E6B" w14:paraId="484FF49C" w14:textId="77777777">
        <w:trPr>
          <w:trHeight w:val="300"/>
        </w:trPr>
        <w:tc>
          <w:tcPr>
            <w:tcW w:w="1665" w:type="dxa"/>
            <w:noWrap/>
            <w:vAlign w:val="bottom"/>
          </w:tcPr>
          <w:p w14:paraId="7A657DE9"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229C5306"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Unemployed</w:t>
            </w:r>
          </w:p>
        </w:tc>
        <w:tc>
          <w:tcPr>
            <w:tcW w:w="1575" w:type="dxa"/>
            <w:noWrap/>
            <w:vAlign w:val="bottom"/>
          </w:tcPr>
          <w:p w14:paraId="6229DEED"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w:t>
            </w:r>
          </w:p>
        </w:tc>
        <w:tc>
          <w:tcPr>
            <w:tcW w:w="1335" w:type="dxa"/>
            <w:noWrap/>
            <w:vAlign w:val="bottom"/>
          </w:tcPr>
          <w:p w14:paraId="7B5A0A74"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w:t>
            </w:r>
          </w:p>
        </w:tc>
      </w:tr>
      <w:tr w:rsidR="00B04E6B" w14:paraId="012E8F7E" w14:textId="77777777">
        <w:trPr>
          <w:trHeight w:val="300"/>
        </w:trPr>
        <w:tc>
          <w:tcPr>
            <w:tcW w:w="1665" w:type="dxa"/>
            <w:noWrap/>
            <w:vAlign w:val="bottom"/>
          </w:tcPr>
          <w:p w14:paraId="3E67D0E0" w14:textId="77777777" w:rsidR="00B04E6B" w:rsidRDefault="00B04E6B">
            <w:pPr>
              <w:spacing w:after="0" w:line="240" w:lineRule="auto"/>
              <w:jc w:val="right"/>
              <w:rPr>
                <w:rFonts w:ascii="Calibri" w:eastAsia="Times New Roman" w:hAnsi="Calibri" w:cs="Calibri"/>
                <w:color w:val="000000"/>
                <w:kern w:val="0"/>
                <w:sz w:val="22"/>
                <w:szCs w:val="22"/>
                <w14:ligatures w14:val="none"/>
              </w:rPr>
            </w:pPr>
          </w:p>
        </w:tc>
        <w:tc>
          <w:tcPr>
            <w:tcW w:w="2400" w:type="dxa"/>
            <w:noWrap/>
            <w:vAlign w:val="bottom"/>
          </w:tcPr>
          <w:p w14:paraId="2FC4F0CD" w14:textId="77777777" w:rsidR="00B04E6B" w:rsidRDefault="00B04E6B">
            <w:pPr>
              <w:spacing w:after="0" w:line="240" w:lineRule="auto"/>
              <w:rPr>
                <w:rFonts w:ascii="Times New Roman" w:eastAsia="Times New Roman" w:hAnsi="Times New Roman" w:cs="Times New Roman"/>
                <w:kern w:val="0"/>
                <w:sz w:val="20"/>
                <w:szCs w:val="20"/>
                <w14:ligatures w14:val="none"/>
              </w:rPr>
            </w:pPr>
          </w:p>
        </w:tc>
        <w:tc>
          <w:tcPr>
            <w:tcW w:w="1575" w:type="dxa"/>
            <w:noWrap/>
            <w:vAlign w:val="bottom"/>
          </w:tcPr>
          <w:p w14:paraId="3156B0A1" w14:textId="77777777" w:rsidR="00B04E6B" w:rsidRDefault="00B04E6B">
            <w:pPr>
              <w:spacing w:after="0" w:line="240" w:lineRule="auto"/>
              <w:rPr>
                <w:rFonts w:ascii="Times New Roman" w:eastAsia="Times New Roman" w:hAnsi="Times New Roman" w:cs="Times New Roman"/>
                <w:kern w:val="0"/>
                <w:sz w:val="20"/>
                <w:szCs w:val="20"/>
                <w14:ligatures w14:val="none"/>
              </w:rPr>
            </w:pPr>
          </w:p>
        </w:tc>
        <w:tc>
          <w:tcPr>
            <w:tcW w:w="1335" w:type="dxa"/>
            <w:noWrap/>
            <w:vAlign w:val="bottom"/>
          </w:tcPr>
          <w:p w14:paraId="65C2E741" w14:textId="77777777" w:rsidR="00B04E6B" w:rsidRDefault="00B04E6B">
            <w:pPr>
              <w:spacing w:after="0" w:line="240" w:lineRule="auto"/>
              <w:rPr>
                <w:rFonts w:ascii="Times New Roman" w:eastAsia="Times New Roman" w:hAnsi="Times New Roman" w:cs="Times New Roman"/>
                <w:kern w:val="0"/>
                <w:sz w:val="20"/>
                <w:szCs w:val="20"/>
                <w14:ligatures w14:val="none"/>
              </w:rPr>
            </w:pPr>
          </w:p>
        </w:tc>
      </w:tr>
    </w:tbl>
    <w:p w14:paraId="7243974F" w14:textId="77777777" w:rsidR="00B04E6B" w:rsidRDefault="00B04E6B"/>
    <w:p w14:paraId="261096EE" w14:textId="77777777" w:rsidR="00B04E6B" w:rsidRDefault="00000000">
      <w:r>
        <w:t>Table 2: PSS Severity and stress level summary</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0"/>
        <w:gridCol w:w="1275"/>
        <w:gridCol w:w="1380"/>
        <w:gridCol w:w="1335"/>
        <w:gridCol w:w="1305"/>
        <w:gridCol w:w="1170"/>
      </w:tblGrid>
      <w:tr w:rsidR="00B04E6B" w14:paraId="0A3D19DA" w14:textId="77777777">
        <w:trPr>
          <w:trHeight w:val="300"/>
        </w:trPr>
        <w:tc>
          <w:tcPr>
            <w:tcW w:w="3030" w:type="dxa"/>
            <w:noWrap/>
          </w:tcPr>
          <w:p w14:paraId="657AF6C2"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PSS Item</w:t>
            </w:r>
          </w:p>
        </w:tc>
        <w:tc>
          <w:tcPr>
            <w:tcW w:w="1275" w:type="dxa"/>
            <w:noWrap/>
          </w:tcPr>
          <w:p w14:paraId="39596990"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0</w:t>
            </w:r>
          </w:p>
        </w:tc>
        <w:tc>
          <w:tcPr>
            <w:tcW w:w="1380" w:type="dxa"/>
            <w:noWrap/>
          </w:tcPr>
          <w:p w14:paraId="3633812B"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1</w:t>
            </w:r>
          </w:p>
        </w:tc>
        <w:tc>
          <w:tcPr>
            <w:tcW w:w="1335" w:type="dxa"/>
            <w:noWrap/>
          </w:tcPr>
          <w:p w14:paraId="70EF2FE0"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2</w:t>
            </w:r>
          </w:p>
        </w:tc>
        <w:tc>
          <w:tcPr>
            <w:tcW w:w="1305" w:type="dxa"/>
            <w:noWrap/>
          </w:tcPr>
          <w:p w14:paraId="230C9BBD"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3</w:t>
            </w:r>
          </w:p>
        </w:tc>
        <w:tc>
          <w:tcPr>
            <w:tcW w:w="1170" w:type="dxa"/>
            <w:noWrap/>
          </w:tcPr>
          <w:p w14:paraId="35BF62C6"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4</w:t>
            </w:r>
          </w:p>
        </w:tc>
      </w:tr>
      <w:tr w:rsidR="00B04E6B" w14:paraId="536B36A4" w14:textId="77777777">
        <w:trPr>
          <w:trHeight w:val="300"/>
        </w:trPr>
        <w:tc>
          <w:tcPr>
            <w:tcW w:w="3030" w:type="dxa"/>
            <w:noWrap/>
            <w:vAlign w:val="bottom"/>
          </w:tcPr>
          <w:p w14:paraId="65158474"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Upset unexpectedly</w:t>
            </w:r>
          </w:p>
        </w:tc>
        <w:tc>
          <w:tcPr>
            <w:tcW w:w="1275" w:type="dxa"/>
            <w:noWrap/>
            <w:vAlign w:val="bottom"/>
          </w:tcPr>
          <w:p w14:paraId="05874231"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59 (18.4%)</w:t>
            </w:r>
          </w:p>
        </w:tc>
        <w:tc>
          <w:tcPr>
            <w:tcW w:w="1380" w:type="dxa"/>
            <w:noWrap/>
            <w:vAlign w:val="bottom"/>
          </w:tcPr>
          <w:p w14:paraId="3103026E"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39 (12.2%)</w:t>
            </w:r>
          </w:p>
        </w:tc>
        <w:tc>
          <w:tcPr>
            <w:tcW w:w="1335" w:type="dxa"/>
            <w:noWrap/>
            <w:vAlign w:val="bottom"/>
          </w:tcPr>
          <w:p w14:paraId="5B810B61"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94 (29.4%)</w:t>
            </w:r>
          </w:p>
        </w:tc>
        <w:tc>
          <w:tcPr>
            <w:tcW w:w="1305" w:type="dxa"/>
            <w:noWrap/>
            <w:vAlign w:val="bottom"/>
          </w:tcPr>
          <w:p w14:paraId="009E64C7"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75 (23.4%)</w:t>
            </w:r>
          </w:p>
        </w:tc>
        <w:tc>
          <w:tcPr>
            <w:tcW w:w="1170" w:type="dxa"/>
            <w:noWrap/>
            <w:vAlign w:val="bottom"/>
          </w:tcPr>
          <w:p w14:paraId="578CE648"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53 (16.6%)</w:t>
            </w:r>
          </w:p>
        </w:tc>
      </w:tr>
      <w:tr w:rsidR="00B04E6B" w14:paraId="5D280164" w14:textId="77777777">
        <w:trPr>
          <w:trHeight w:val="300"/>
        </w:trPr>
        <w:tc>
          <w:tcPr>
            <w:tcW w:w="3030" w:type="dxa"/>
            <w:noWrap/>
            <w:vAlign w:val="bottom"/>
          </w:tcPr>
          <w:p w14:paraId="531C18C1"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Lack of control</w:t>
            </w:r>
          </w:p>
        </w:tc>
        <w:tc>
          <w:tcPr>
            <w:tcW w:w="1275" w:type="dxa"/>
            <w:noWrap/>
            <w:vAlign w:val="bottom"/>
          </w:tcPr>
          <w:p w14:paraId="77EE8285"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71 (22.2%)</w:t>
            </w:r>
          </w:p>
        </w:tc>
        <w:tc>
          <w:tcPr>
            <w:tcW w:w="1380" w:type="dxa"/>
            <w:noWrap/>
            <w:vAlign w:val="bottom"/>
          </w:tcPr>
          <w:p w14:paraId="1412236D"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69 (21.6%)</w:t>
            </w:r>
          </w:p>
        </w:tc>
        <w:tc>
          <w:tcPr>
            <w:tcW w:w="1335" w:type="dxa"/>
            <w:noWrap/>
            <w:vAlign w:val="bottom"/>
          </w:tcPr>
          <w:p w14:paraId="16E5D0DC"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73 (22.8%)</w:t>
            </w:r>
          </w:p>
        </w:tc>
        <w:tc>
          <w:tcPr>
            <w:tcW w:w="1305" w:type="dxa"/>
            <w:noWrap/>
            <w:vAlign w:val="bottom"/>
          </w:tcPr>
          <w:p w14:paraId="098A4D9C"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65 (20.3%)</w:t>
            </w:r>
          </w:p>
        </w:tc>
        <w:tc>
          <w:tcPr>
            <w:tcW w:w="1170" w:type="dxa"/>
            <w:noWrap/>
            <w:vAlign w:val="bottom"/>
          </w:tcPr>
          <w:p w14:paraId="19D00A4E"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42 (13.1%)</w:t>
            </w:r>
          </w:p>
        </w:tc>
      </w:tr>
      <w:tr w:rsidR="00B04E6B" w14:paraId="01D7F971" w14:textId="77777777">
        <w:trPr>
          <w:trHeight w:val="300"/>
        </w:trPr>
        <w:tc>
          <w:tcPr>
            <w:tcW w:w="3030" w:type="dxa"/>
            <w:noWrap/>
            <w:vAlign w:val="bottom"/>
          </w:tcPr>
          <w:p w14:paraId="62CA35DD"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Felt stressed</w:t>
            </w:r>
          </w:p>
        </w:tc>
        <w:tc>
          <w:tcPr>
            <w:tcW w:w="1275" w:type="dxa"/>
            <w:noWrap/>
            <w:vAlign w:val="bottom"/>
          </w:tcPr>
          <w:p w14:paraId="028145A4"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42 (13.1%)</w:t>
            </w:r>
          </w:p>
        </w:tc>
        <w:tc>
          <w:tcPr>
            <w:tcW w:w="1380" w:type="dxa"/>
            <w:noWrap/>
            <w:vAlign w:val="bottom"/>
          </w:tcPr>
          <w:p w14:paraId="34595CB3"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31 (9.7%)</w:t>
            </w:r>
          </w:p>
        </w:tc>
        <w:tc>
          <w:tcPr>
            <w:tcW w:w="1335" w:type="dxa"/>
            <w:noWrap/>
            <w:vAlign w:val="bottom"/>
          </w:tcPr>
          <w:p w14:paraId="63461ABD"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92 (28.7%)</w:t>
            </w:r>
          </w:p>
        </w:tc>
        <w:tc>
          <w:tcPr>
            <w:tcW w:w="1305" w:type="dxa"/>
            <w:noWrap/>
            <w:vAlign w:val="bottom"/>
          </w:tcPr>
          <w:p w14:paraId="137CC218"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100 (31.2%)</w:t>
            </w:r>
          </w:p>
        </w:tc>
        <w:tc>
          <w:tcPr>
            <w:tcW w:w="1170" w:type="dxa"/>
            <w:noWrap/>
            <w:vAlign w:val="bottom"/>
          </w:tcPr>
          <w:p w14:paraId="342EC8BE"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55 (17.2%)</w:t>
            </w:r>
          </w:p>
        </w:tc>
      </w:tr>
      <w:tr w:rsidR="00B04E6B" w14:paraId="4990CF2B" w14:textId="77777777">
        <w:trPr>
          <w:trHeight w:val="300"/>
        </w:trPr>
        <w:tc>
          <w:tcPr>
            <w:tcW w:w="3030" w:type="dxa"/>
            <w:noWrap/>
            <w:vAlign w:val="bottom"/>
          </w:tcPr>
          <w:p w14:paraId="5589246A"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Confident handling problems</w:t>
            </w:r>
          </w:p>
        </w:tc>
        <w:tc>
          <w:tcPr>
            <w:tcW w:w="1275" w:type="dxa"/>
            <w:noWrap/>
            <w:vAlign w:val="bottom"/>
          </w:tcPr>
          <w:p w14:paraId="0946D17A"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 (3.8%)</w:t>
            </w:r>
          </w:p>
        </w:tc>
        <w:tc>
          <w:tcPr>
            <w:tcW w:w="1380" w:type="dxa"/>
            <w:noWrap/>
            <w:vAlign w:val="bottom"/>
          </w:tcPr>
          <w:p w14:paraId="7CDEED10"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32 (10.0%)</w:t>
            </w:r>
          </w:p>
        </w:tc>
        <w:tc>
          <w:tcPr>
            <w:tcW w:w="1335" w:type="dxa"/>
            <w:noWrap/>
            <w:vAlign w:val="bottom"/>
          </w:tcPr>
          <w:p w14:paraId="0F39846A"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57 (17.8%)</w:t>
            </w:r>
          </w:p>
        </w:tc>
        <w:tc>
          <w:tcPr>
            <w:tcW w:w="1305" w:type="dxa"/>
            <w:noWrap/>
            <w:vAlign w:val="bottom"/>
          </w:tcPr>
          <w:p w14:paraId="2C9984E4"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72 (22.5%)</w:t>
            </w:r>
          </w:p>
        </w:tc>
        <w:tc>
          <w:tcPr>
            <w:tcW w:w="1170" w:type="dxa"/>
            <w:noWrap/>
            <w:vAlign w:val="bottom"/>
          </w:tcPr>
          <w:p w14:paraId="188BE304"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147 (45.9%)</w:t>
            </w:r>
          </w:p>
        </w:tc>
      </w:tr>
      <w:tr w:rsidR="00B04E6B" w14:paraId="14550EB2" w14:textId="77777777">
        <w:trPr>
          <w:trHeight w:val="300"/>
        </w:trPr>
        <w:tc>
          <w:tcPr>
            <w:tcW w:w="3030" w:type="dxa"/>
            <w:noWrap/>
            <w:vAlign w:val="bottom"/>
          </w:tcPr>
          <w:p w14:paraId="53687FBC"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Things going well</w:t>
            </w:r>
          </w:p>
        </w:tc>
        <w:tc>
          <w:tcPr>
            <w:tcW w:w="1275" w:type="dxa"/>
            <w:noWrap/>
            <w:vAlign w:val="bottom"/>
          </w:tcPr>
          <w:p w14:paraId="6AF92457"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26 (8.1%)</w:t>
            </w:r>
          </w:p>
        </w:tc>
        <w:tc>
          <w:tcPr>
            <w:tcW w:w="1380" w:type="dxa"/>
            <w:noWrap/>
            <w:vAlign w:val="bottom"/>
          </w:tcPr>
          <w:p w14:paraId="72F3FDA9"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52 (16.2%)</w:t>
            </w:r>
          </w:p>
        </w:tc>
        <w:tc>
          <w:tcPr>
            <w:tcW w:w="1335" w:type="dxa"/>
            <w:noWrap/>
            <w:vAlign w:val="bottom"/>
          </w:tcPr>
          <w:p w14:paraId="15573781"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87 (27.2%)</w:t>
            </w:r>
          </w:p>
        </w:tc>
        <w:tc>
          <w:tcPr>
            <w:tcW w:w="1305" w:type="dxa"/>
            <w:noWrap/>
            <w:vAlign w:val="bottom"/>
          </w:tcPr>
          <w:p w14:paraId="4DF9141F"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73 (22.8%)</w:t>
            </w:r>
          </w:p>
        </w:tc>
        <w:tc>
          <w:tcPr>
            <w:tcW w:w="1170" w:type="dxa"/>
            <w:noWrap/>
            <w:vAlign w:val="bottom"/>
          </w:tcPr>
          <w:p w14:paraId="6785D54E"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82 (25.6%)</w:t>
            </w:r>
          </w:p>
        </w:tc>
      </w:tr>
      <w:tr w:rsidR="00B04E6B" w14:paraId="000088A7" w14:textId="77777777">
        <w:trPr>
          <w:trHeight w:val="300"/>
        </w:trPr>
        <w:tc>
          <w:tcPr>
            <w:tcW w:w="3030" w:type="dxa"/>
            <w:noWrap/>
            <w:vAlign w:val="bottom"/>
          </w:tcPr>
          <w:p w14:paraId="1E2171B9"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Could not cope</w:t>
            </w:r>
          </w:p>
        </w:tc>
        <w:tc>
          <w:tcPr>
            <w:tcW w:w="1275" w:type="dxa"/>
            <w:noWrap/>
            <w:vAlign w:val="bottom"/>
          </w:tcPr>
          <w:p w14:paraId="04147C62"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42 (13.1%)</w:t>
            </w:r>
          </w:p>
        </w:tc>
        <w:tc>
          <w:tcPr>
            <w:tcW w:w="1380" w:type="dxa"/>
            <w:noWrap/>
            <w:vAlign w:val="bottom"/>
          </w:tcPr>
          <w:p w14:paraId="20F47B98"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74 (23.1%)</w:t>
            </w:r>
          </w:p>
        </w:tc>
        <w:tc>
          <w:tcPr>
            <w:tcW w:w="1335" w:type="dxa"/>
            <w:noWrap/>
            <w:vAlign w:val="bottom"/>
          </w:tcPr>
          <w:p w14:paraId="5E362E57"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98 (30.6%)</w:t>
            </w:r>
          </w:p>
        </w:tc>
        <w:tc>
          <w:tcPr>
            <w:tcW w:w="1305" w:type="dxa"/>
            <w:noWrap/>
            <w:vAlign w:val="bottom"/>
          </w:tcPr>
          <w:p w14:paraId="5F9C9B51"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53 (16.6%)</w:t>
            </w:r>
          </w:p>
        </w:tc>
        <w:tc>
          <w:tcPr>
            <w:tcW w:w="1170" w:type="dxa"/>
            <w:noWrap/>
            <w:vAlign w:val="bottom"/>
          </w:tcPr>
          <w:p w14:paraId="15FF58DB"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53 (16.6%)</w:t>
            </w:r>
          </w:p>
        </w:tc>
      </w:tr>
      <w:tr w:rsidR="00B04E6B" w14:paraId="2F750553" w14:textId="77777777">
        <w:trPr>
          <w:trHeight w:val="300"/>
        </w:trPr>
        <w:tc>
          <w:tcPr>
            <w:tcW w:w="3030" w:type="dxa"/>
            <w:noWrap/>
            <w:vAlign w:val="bottom"/>
          </w:tcPr>
          <w:p w14:paraId="2F871FE6"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Controlled irritations</w:t>
            </w:r>
          </w:p>
        </w:tc>
        <w:tc>
          <w:tcPr>
            <w:tcW w:w="1275" w:type="dxa"/>
            <w:noWrap/>
            <w:vAlign w:val="bottom"/>
          </w:tcPr>
          <w:p w14:paraId="6DDF7AFE"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21 (6.6%)</w:t>
            </w:r>
          </w:p>
        </w:tc>
        <w:tc>
          <w:tcPr>
            <w:tcW w:w="1380" w:type="dxa"/>
            <w:noWrap/>
            <w:vAlign w:val="bottom"/>
          </w:tcPr>
          <w:p w14:paraId="317E51FE"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39 (12.2%)</w:t>
            </w:r>
          </w:p>
        </w:tc>
        <w:tc>
          <w:tcPr>
            <w:tcW w:w="1335" w:type="dxa"/>
            <w:noWrap/>
            <w:vAlign w:val="bottom"/>
          </w:tcPr>
          <w:p w14:paraId="561C5085"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66 (20.6%)</w:t>
            </w:r>
          </w:p>
        </w:tc>
        <w:tc>
          <w:tcPr>
            <w:tcW w:w="1305" w:type="dxa"/>
            <w:noWrap/>
            <w:vAlign w:val="bottom"/>
          </w:tcPr>
          <w:p w14:paraId="1749D097"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83 (25.9%)</w:t>
            </w:r>
          </w:p>
        </w:tc>
        <w:tc>
          <w:tcPr>
            <w:tcW w:w="1170" w:type="dxa"/>
            <w:noWrap/>
            <w:vAlign w:val="bottom"/>
          </w:tcPr>
          <w:p w14:paraId="05D3F545"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111 (34.7%)</w:t>
            </w:r>
          </w:p>
        </w:tc>
      </w:tr>
      <w:tr w:rsidR="00B04E6B" w14:paraId="0F84F458" w14:textId="77777777">
        <w:trPr>
          <w:trHeight w:val="300"/>
        </w:trPr>
        <w:tc>
          <w:tcPr>
            <w:tcW w:w="3030" w:type="dxa"/>
            <w:noWrap/>
            <w:vAlign w:val="bottom"/>
          </w:tcPr>
          <w:p w14:paraId="375A0FE7"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On top of things</w:t>
            </w:r>
          </w:p>
        </w:tc>
        <w:tc>
          <w:tcPr>
            <w:tcW w:w="1275" w:type="dxa"/>
            <w:noWrap/>
            <w:vAlign w:val="bottom"/>
          </w:tcPr>
          <w:p w14:paraId="1520E717"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49 (15.3%)</w:t>
            </w:r>
          </w:p>
        </w:tc>
        <w:tc>
          <w:tcPr>
            <w:tcW w:w="1380" w:type="dxa"/>
            <w:noWrap/>
            <w:vAlign w:val="bottom"/>
          </w:tcPr>
          <w:p w14:paraId="2A4E0C7D"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79 (24.7%)</w:t>
            </w:r>
          </w:p>
        </w:tc>
        <w:tc>
          <w:tcPr>
            <w:tcW w:w="1335" w:type="dxa"/>
            <w:noWrap/>
            <w:vAlign w:val="bottom"/>
          </w:tcPr>
          <w:p w14:paraId="0F41D48E"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77 (24.1%)</w:t>
            </w:r>
          </w:p>
        </w:tc>
        <w:tc>
          <w:tcPr>
            <w:tcW w:w="1305" w:type="dxa"/>
            <w:noWrap/>
            <w:vAlign w:val="bottom"/>
          </w:tcPr>
          <w:p w14:paraId="6B840774"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50 (15.6%)</w:t>
            </w:r>
          </w:p>
        </w:tc>
        <w:tc>
          <w:tcPr>
            <w:tcW w:w="1170" w:type="dxa"/>
            <w:noWrap/>
            <w:vAlign w:val="bottom"/>
          </w:tcPr>
          <w:p w14:paraId="431ECC00"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65 (20.3%)</w:t>
            </w:r>
          </w:p>
        </w:tc>
      </w:tr>
      <w:tr w:rsidR="00B04E6B" w14:paraId="2B9D05F3" w14:textId="77777777">
        <w:trPr>
          <w:trHeight w:val="300"/>
        </w:trPr>
        <w:tc>
          <w:tcPr>
            <w:tcW w:w="3030" w:type="dxa"/>
            <w:noWrap/>
            <w:vAlign w:val="bottom"/>
          </w:tcPr>
          <w:p w14:paraId="7A9E8D5C"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Angered by outside events</w:t>
            </w:r>
          </w:p>
        </w:tc>
        <w:tc>
          <w:tcPr>
            <w:tcW w:w="1275" w:type="dxa"/>
            <w:noWrap/>
            <w:vAlign w:val="bottom"/>
          </w:tcPr>
          <w:p w14:paraId="2FA207DF"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34 (10.6%)</w:t>
            </w:r>
          </w:p>
        </w:tc>
        <w:tc>
          <w:tcPr>
            <w:tcW w:w="1380" w:type="dxa"/>
            <w:noWrap/>
            <w:vAlign w:val="bottom"/>
          </w:tcPr>
          <w:p w14:paraId="7614BCD1"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44 (13.8%)</w:t>
            </w:r>
          </w:p>
        </w:tc>
        <w:tc>
          <w:tcPr>
            <w:tcW w:w="1335" w:type="dxa"/>
            <w:noWrap/>
            <w:vAlign w:val="bottom"/>
          </w:tcPr>
          <w:p w14:paraId="149C90B8"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84 (26.2%)</w:t>
            </w:r>
          </w:p>
        </w:tc>
        <w:tc>
          <w:tcPr>
            <w:tcW w:w="1305" w:type="dxa"/>
            <w:noWrap/>
            <w:vAlign w:val="bottom"/>
          </w:tcPr>
          <w:p w14:paraId="5568A0CF"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91 (28.4%)</w:t>
            </w:r>
          </w:p>
        </w:tc>
        <w:tc>
          <w:tcPr>
            <w:tcW w:w="1170" w:type="dxa"/>
            <w:noWrap/>
            <w:vAlign w:val="bottom"/>
          </w:tcPr>
          <w:p w14:paraId="29EE075B"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67 (20.9%)</w:t>
            </w:r>
          </w:p>
        </w:tc>
      </w:tr>
      <w:tr w:rsidR="00B04E6B" w14:paraId="0CAA3D5A" w14:textId="77777777">
        <w:trPr>
          <w:trHeight w:val="300"/>
        </w:trPr>
        <w:tc>
          <w:tcPr>
            <w:tcW w:w="3030" w:type="dxa"/>
            <w:noWrap/>
            <w:vAlign w:val="bottom"/>
          </w:tcPr>
          <w:p w14:paraId="41FA1797"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Difficulties overwhelming</w:t>
            </w:r>
          </w:p>
        </w:tc>
        <w:tc>
          <w:tcPr>
            <w:tcW w:w="1275" w:type="dxa"/>
            <w:noWrap/>
            <w:vAlign w:val="bottom"/>
          </w:tcPr>
          <w:p w14:paraId="3267CD4E"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92 (28.7%)</w:t>
            </w:r>
          </w:p>
        </w:tc>
        <w:tc>
          <w:tcPr>
            <w:tcW w:w="1380" w:type="dxa"/>
            <w:noWrap/>
            <w:vAlign w:val="bottom"/>
          </w:tcPr>
          <w:p w14:paraId="533BEDD2"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68 (21.2%)</w:t>
            </w:r>
          </w:p>
        </w:tc>
        <w:tc>
          <w:tcPr>
            <w:tcW w:w="1335" w:type="dxa"/>
            <w:noWrap/>
            <w:vAlign w:val="bottom"/>
          </w:tcPr>
          <w:p w14:paraId="3D1F6BE1"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85 (26.6%)</w:t>
            </w:r>
          </w:p>
        </w:tc>
        <w:tc>
          <w:tcPr>
            <w:tcW w:w="1305" w:type="dxa"/>
            <w:noWrap/>
            <w:vAlign w:val="bottom"/>
          </w:tcPr>
          <w:p w14:paraId="797A615D"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46 (14.4%)</w:t>
            </w:r>
          </w:p>
        </w:tc>
        <w:tc>
          <w:tcPr>
            <w:tcW w:w="1170" w:type="dxa"/>
            <w:noWrap/>
            <w:vAlign w:val="bottom"/>
          </w:tcPr>
          <w:p w14:paraId="66F629B0"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29 (9.1%)</w:t>
            </w:r>
          </w:p>
        </w:tc>
      </w:tr>
    </w:tbl>
    <w:p w14:paraId="7A005532" w14:textId="77777777" w:rsidR="00B04E6B" w:rsidRDefault="00B04E6B"/>
    <w:p w14:paraId="79D16582" w14:textId="77777777" w:rsidR="00B04E6B" w:rsidRDefault="00B04E6B"/>
    <w:p w14:paraId="7130204A" w14:textId="77777777" w:rsidR="00B04E6B" w:rsidRDefault="00B04E6B"/>
    <w:p w14:paraId="5E539EA8" w14:textId="77777777" w:rsidR="00B04E6B" w:rsidRDefault="00000000">
      <w:r>
        <w:t xml:space="preserve"> Table 2 CONTD:</w:t>
      </w:r>
    </w:p>
    <w:tbl>
      <w:tblPr>
        <w:tblW w:w="4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350"/>
        <w:gridCol w:w="1875"/>
      </w:tblGrid>
      <w:tr w:rsidR="00B04E6B" w14:paraId="6190AF91" w14:textId="77777777">
        <w:trPr>
          <w:trHeight w:val="300"/>
        </w:trPr>
        <w:tc>
          <w:tcPr>
            <w:tcW w:w="1276" w:type="dxa"/>
            <w:noWrap/>
          </w:tcPr>
          <w:p w14:paraId="48FA82E6"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lastRenderedPageBreak/>
              <w:t>Stress Level</w:t>
            </w:r>
          </w:p>
        </w:tc>
        <w:tc>
          <w:tcPr>
            <w:tcW w:w="1350" w:type="dxa"/>
            <w:noWrap/>
          </w:tcPr>
          <w:p w14:paraId="4D7C92A9"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Frequency</w:t>
            </w:r>
          </w:p>
        </w:tc>
        <w:tc>
          <w:tcPr>
            <w:tcW w:w="1875" w:type="dxa"/>
            <w:noWrap/>
          </w:tcPr>
          <w:p w14:paraId="3F1346D2"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Percentage (%)</w:t>
            </w:r>
          </w:p>
        </w:tc>
      </w:tr>
      <w:tr w:rsidR="00B04E6B" w14:paraId="78948417" w14:textId="77777777">
        <w:trPr>
          <w:trHeight w:val="300"/>
        </w:trPr>
        <w:tc>
          <w:tcPr>
            <w:tcW w:w="1276" w:type="dxa"/>
            <w:noWrap/>
            <w:vAlign w:val="bottom"/>
          </w:tcPr>
          <w:p w14:paraId="06AC403F"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Low</w:t>
            </w:r>
          </w:p>
        </w:tc>
        <w:tc>
          <w:tcPr>
            <w:tcW w:w="1350" w:type="dxa"/>
            <w:noWrap/>
            <w:vAlign w:val="bottom"/>
          </w:tcPr>
          <w:p w14:paraId="192959F3"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88</w:t>
            </w:r>
          </w:p>
        </w:tc>
        <w:tc>
          <w:tcPr>
            <w:tcW w:w="1875" w:type="dxa"/>
            <w:noWrap/>
            <w:vAlign w:val="bottom"/>
          </w:tcPr>
          <w:p w14:paraId="626C876E"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27.5</w:t>
            </w:r>
          </w:p>
        </w:tc>
      </w:tr>
      <w:tr w:rsidR="00B04E6B" w14:paraId="1CBF599F" w14:textId="77777777">
        <w:trPr>
          <w:trHeight w:val="300"/>
        </w:trPr>
        <w:tc>
          <w:tcPr>
            <w:tcW w:w="1276" w:type="dxa"/>
            <w:noWrap/>
            <w:vAlign w:val="bottom"/>
          </w:tcPr>
          <w:p w14:paraId="749C4D3B"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Moderate</w:t>
            </w:r>
          </w:p>
        </w:tc>
        <w:tc>
          <w:tcPr>
            <w:tcW w:w="1350" w:type="dxa"/>
            <w:noWrap/>
            <w:vAlign w:val="bottom"/>
          </w:tcPr>
          <w:p w14:paraId="2B4BB969"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203</w:t>
            </w:r>
          </w:p>
        </w:tc>
        <w:tc>
          <w:tcPr>
            <w:tcW w:w="1875" w:type="dxa"/>
            <w:noWrap/>
            <w:vAlign w:val="bottom"/>
          </w:tcPr>
          <w:p w14:paraId="1314B70E"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63.44</w:t>
            </w:r>
          </w:p>
        </w:tc>
      </w:tr>
      <w:tr w:rsidR="00B04E6B" w14:paraId="05B92AEF" w14:textId="77777777">
        <w:trPr>
          <w:trHeight w:val="300"/>
        </w:trPr>
        <w:tc>
          <w:tcPr>
            <w:tcW w:w="1276" w:type="dxa"/>
            <w:noWrap/>
            <w:vAlign w:val="bottom"/>
          </w:tcPr>
          <w:p w14:paraId="73DDF1D0"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High</w:t>
            </w:r>
          </w:p>
        </w:tc>
        <w:tc>
          <w:tcPr>
            <w:tcW w:w="1350" w:type="dxa"/>
            <w:noWrap/>
            <w:vAlign w:val="bottom"/>
          </w:tcPr>
          <w:p w14:paraId="2492BC97"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29</w:t>
            </w:r>
          </w:p>
        </w:tc>
        <w:tc>
          <w:tcPr>
            <w:tcW w:w="1875" w:type="dxa"/>
            <w:noWrap/>
            <w:vAlign w:val="bottom"/>
          </w:tcPr>
          <w:p w14:paraId="2C59A26E"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9.06</w:t>
            </w:r>
          </w:p>
        </w:tc>
      </w:tr>
    </w:tbl>
    <w:p w14:paraId="2BB0C58D" w14:textId="77777777" w:rsidR="00B04E6B" w:rsidRDefault="00B04E6B"/>
    <w:p w14:paraId="37978AF0" w14:textId="77777777" w:rsidR="00B04E6B" w:rsidRDefault="00000000">
      <w:r>
        <w:t xml:space="preserve">Table 3: Results </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1365"/>
        <w:gridCol w:w="1410"/>
        <w:gridCol w:w="1095"/>
        <w:gridCol w:w="1200"/>
        <w:gridCol w:w="1395"/>
      </w:tblGrid>
      <w:tr w:rsidR="00B04E6B" w14:paraId="5FAC78DF" w14:textId="77777777">
        <w:trPr>
          <w:trHeight w:val="300"/>
        </w:trPr>
        <w:tc>
          <w:tcPr>
            <w:tcW w:w="2505" w:type="dxa"/>
            <w:noWrap/>
          </w:tcPr>
          <w:p w14:paraId="4BB9F56D"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IBS Variable</w:t>
            </w:r>
          </w:p>
        </w:tc>
        <w:tc>
          <w:tcPr>
            <w:tcW w:w="1365" w:type="dxa"/>
            <w:noWrap/>
          </w:tcPr>
          <w:p w14:paraId="38092114"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N Used</w:t>
            </w:r>
          </w:p>
        </w:tc>
        <w:tc>
          <w:tcPr>
            <w:tcW w:w="1410" w:type="dxa"/>
            <w:noWrap/>
          </w:tcPr>
          <w:p w14:paraId="5146C4DF"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Chi-square (χ²)</w:t>
            </w:r>
          </w:p>
        </w:tc>
        <w:tc>
          <w:tcPr>
            <w:tcW w:w="1095" w:type="dxa"/>
            <w:noWrap/>
          </w:tcPr>
          <w:p w14:paraId="22FB793A"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proofErr w:type="spellStart"/>
            <w:r>
              <w:rPr>
                <w:rFonts w:ascii="Calibri" w:eastAsia="Times New Roman" w:hAnsi="Calibri" w:cs="Calibri"/>
                <w:b/>
                <w:bCs/>
                <w:color w:val="000000"/>
                <w:kern w:val="0"/>
                <w:sz w:val="22"/>
                <w:szCs w:val="22"/>
                <w14:ligatures w14:val="none"/>
              </w:rPr>
              <w:t>df</w:t>
            </w:r>
            <w:proofErr w:type="spellEnd"/>
          </w:p>
        </w:tc>
        <w:tc>
          <w:tcPr>
            <w:tcW w:w="1200" w:type="dxa"/>
            <w:noWrap/>
          </w:tcPr>
          <w:p w14:paraId="24667439"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P-value</w:t>
            </w:r>
          </w:p>
        </w:tc>
        <w:tc>
          <w:tcPr>
            <w:tcW w:w="1395" w:type="dxa"/>
            <w:noWrap/>
          </w:tcPr>
          <w:p w14:paraId="0985737F" w14:textId="77777777" w:rsidR="00B04E6B" w:rsidRDefault="00000000">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Significance</w:t>
            </w:r>
          </w:p>
        </w:tc>
      </w:tr>
      <w:tr w:rsidR="00B04E6B" w14:paraId="4B905EA6" w14:textId="77777777">
        <w:trPr>
          <w:trHeight w:val="300"/>
        </w:trPr>
        <w:tc>
          <w:tcPr>
            <w:tcW w:w="2505" w:type="dxa"/>
            <w:noWrap/>
            <w:vAlign w:val="bottom"/>
          </w:tcPr>
          <w:p w14:paraId="76A5E384"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Pain Severity</w:t>
            </w:r>
          </w:p>
        </w:tc>
        <w:tc>
          <w:tcPr>
            <w:tcW w:w="1365" w:type="dxa"/>
            <w:noWrap/>
            <w:vAlign w:val="bottom"/>
          </w:tcPr>
          <w:p w14:paraId="55163D5B"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319</w:t>
            </w:r>
          </w:p>
        </w:tc>
        <w:tc>
          <w:tcPr>
            <w:tcW w:w="1410" w:type="dxa"/>
            <w:noWrap/>
            <w:vAlign w:val="bottom"/>
          </w:tcPr>
          <w:p w14:paraId="513CB662"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18.88</w:t>
            </w:r>
          </w:p>
        </w:tc>
        <w:tc>
          <w:tcPr>
            <w:tcW w:w="1095" w:type="dxa"/>
            <w:noWrap/>
            <w:vAlign w:val="bottom"/>
          </w:tcPr>
          <w:p w14:paraId="212D9DC7"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w:t>
            </w:r>
          </w:p>
        </w:tc>
        <w:tc>
          <w:tcPr>
            <w:tcW w:w="1200" w:type="dxa"/>
            <w:noWrap/>
            <w:vAlign w:val="bottom"/>
          </w:tcPr>
          <w:p w14:paraId="6E0A9C67"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0.0155</w:t>
            </w:r>
          </w:p>
        </w:tc>
        <w:tc>
          <w:tcPr>
            <w:tcW w:w="1395" w:type="dxa"/>
            <w:noWrap/>
            <w:vAlign w:val="bottom"/>
          </w:tcPr>
          <w:p w14:paraId="281F15B4"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Yes</w:t>
            </w:r>
          </w:p>
        </w:tc>
      </w:tr>
      <w:tr w:rsidR="00B04E6B" w14:paraId="462638C3" w14:textId="77777777">
        <w:trPr>
          <w:trHeight w:val="300"/>
        </w:trPr>
        <w:tc>
          <w:tcPr>
            <w:tcW w:w="2505" w:type="dxa"/>
            <w:noWrap/>
            <w:vAlign w:val="bottom"/>
          </w:tcPr>
          <w:p w14:paraId="7C8BF259"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Distension Severity</w:t>
            </w:r>
          </w:p>
        </w:tc>
        <w:tc>
          <w:tcPr>
            <w:tcW w:w="1365" w:type="dxa"/>
            <w:noWrap/>
            <w:vAlign w:val="bottom"/>
          </w:tcPr>
          <w:p w14:paraId="1FDD3DB0"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318</w:t>
            </w:r>
          </w:p>
        </w:tc>
        <w:tc>
          <w:tcPr>
            <w:tcW w:w="1410" w:type="dxa"/>
            <w:noWrap/>
            <w:vAlign w:val="bottom"/>
          </w:tcPr>
          <w:p w14:paraId="05945E6F"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39.60</w:t>
            </w:r>
          </w:p>
        </w:tc>
        <w:tc>
          <w:tcPr>
            <w:tcW w:w="1095" w:type="dxa"/>
            <w:noWrap/>
            <w:vAlign w:val="bottom"/>
          </w:tcPr>
          <w:p w14:paraId="27F78578"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w:t>
            </w:r>
          </w:p>
        </w:tc>
        <w:tc>
          <w:tcPr>
            <w:tcW w:w="1200" w:type="dxa"/>
            <w:noWrap/>
            <w:vAlign w:val="bottom"/>
          </w:tcPr>
          <w:p w14:paraId="5DC80876"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0.000</w:t>
            </w:r>
          </w:p>
        </w:tc>
        <w:tc>
          <w:tcPr>
            <w:tcW w:w="1395" w:type="dxa"/>
            <w:noWrap/>
            <w:vAlign w:val="bottom"/>
          </w:tcPr>
          <w:p w14:paraId="5DF975BA"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Yes</w:t>
            </w:r>
          </w:p>
        </w:tc>
      </w:tr>
      <w:tr w:rsidR="00B04E6B" w14:paraId="794082B5" w14:textId="77777777">
        <w:trPr>
          <w:trHeight w:val="300"/>
        </w:trPr>
        <w:tc>
          <w:tcPr>
            <w:tcW w:w="2505" w:type="dxa"/>
            <w:noWrap/>
            <w:vAlign w:val="bottom"/>
          </w:tcPr>
          <w:p w14:paraId="435C62A9"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Bowel Satisfaction</w:t>
            </w:r>
          </w:p>
        </w:tc>
        <w:tc>
          <w:tcPr>
            <w:tcW w:w="1365" w:type="dxa"/>
            <w:noWrap/>
            <w:vAlign w:val="bottom"/>
          </w:tcPr>
          <w:p w14:paraId="4A41D4B8"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320</w:t>
            </w:r>
          </w:p>
        </w:tc>
        <w:tc>
          <w:tcPr>
            <w:tcW w:w="1410" w:type="dxa"/>
            <w:noWrap/>
            <w:vAlign w:val="bottom"/>
          </w:tcPr>
          <w:p w14:paraId="5A8A8330"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15.98</w:t>
            </w:r>
          </w:p>
        </w:tc>
        <w:tc>
          <w:tcPr>
            <w:tcW w:w="1095" w:type="dxa"/>
            <w:noWrap/>
            <w:vAlign w:val="bottom"/>
          </w:tcPr>
          <w:p w14:paraId="0ED7BB4E"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w:t>
            </w:r>
          </w:p>
        </w:tc>
        <w:tc>
          <w:tcPr>
            <w:tcW w:w="1200" w:type="dxa"/>
            <w:noWrap/>
            <w:vAlign w:val="bottom"/>
          </w:tcPr>
          <w:p w14:paraId="05396446"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0.0030</w:t>
            </w:r>
          </w:p>
        </w:tc>
        <w:tc>
          <w:tcPr>
            <w:tcW w:w="1395" w:type="dxa"/>
            <w:noWrap/>
            <w:vAlign w:val="bottom"/>
          </w:tcPr>
          <w:p w14:paraId="05C8891B"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Yes</w:t>
            </w:r>
          </w:p>
        </w:tc>
      </w:tr>
      <w:tr w:rsidR="00B04E6B" w14:paraId="2AB061A9" w14:textId="77777777">
        <w:trPr>
          <w:trHeight w:val="300"/>
        </w:trPr>
        <w:tc>
          <w:tcPr>
            <w:tcW w:w="2505" w:type="dxa"/>
            <w:noWrap/>
            <w:vAlign w:val="bottom"/>
          </w:tcPr>
          <w:p w14:paraId="3AE358E8"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Daily Life Interference</w:t>
            </w:r>
          </w:p>
        </w:tc>
        <w:tc>
          <w:tcPr>
            <w:tcW w:w="1365" w:type="dxa"/>
            <w:noWrap/>
            <w:vAlign w:val="bottom"/>
          </w:tcPr>
          <w:p w14:paraId="3ED69F90"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320</w:t>
            </w:r>
          </w:p>
        </w:tc>
        <w:tc>
          <w:tcPr>
            <w:tcW w:w="1410" w:type="dxa"/>
            <w:noWrap/>
            <w:vAlign w:val="bottom"/>
          </w:tcPr>
          <w:p w14:paraId="4AB424A3"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23.34</w:t>
            </w:r>
          </w:p>
        </w:tc>
        <w:tc>
          <w:tcPr>
            <w:tcW w:w="1095" w:type="dxa"/>
            <w:noWrap/>
            <w:vAlign w:val="bottom"/>
          </w:tcPr>
          <w:p w14:paraId="7BEE6C6F"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w:t>
            </w:r>
          </w:p>
        </w:tc>
        <w:tc>
          <w:tcPr>
            <w:tcW w:w="1200" w:type="dxa"/>
            <w:noWrap/>
            <w:vAlign w:val="bottom"/>
          </w:tcPr>
          <w:p w14:paraId="04C2DBC2" w14:textId="77777777" w:rsidR="00B04E6B" w:rsidRDefault="00000000">
            <w:pPr>
              <w:spacing w:after="0" w:line="240" w:lineRule="auto"/>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0.000</w:t>
            </w:r>
          </w:p>
        </w:tc>
        <w:tc>
          <w:tcPr>
            <w:tcW w:w="1395" w:type="dxa"/>
            <w:noWrap/>
            <w:vAlign w:val="bottom"/>
          </w:tcPr>
          <w:p w14:paraId="427557A6" w14:textId="77777777" w:rsidR="00B04E6B" w:rsidRDefault="0000000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Yes</w:t>
            </w:r>
          </w:p>
        </w:tc>
      </w:tr>
    </w:tbl>
    <w:p w14:paraId="4B9F4884" w14:textId="77777777" w:rsidR="00B04E6B" w:rsidRDefault="00B04E6B"/>
    <w:p w14:paraId="38ADCBAB" w14:textId="77777777" w:rsidR="00B04E6B" w:rsidRDefault="00000000">
      <w:r>
        <w:t xml:space="preserve">Table 4: </w:t>
      </w:r>
      <w:proofErr w:type="spellStart"/>
      <w:r>
        <w:t>dunn</w:t>
      </w:r>
      <w:proofErr w:type="spellEnd"/>
      <w:r>
        <w:t xml:space="preserve"> post hoc test on pain days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716"/>
        <w:gridCol w:w="1447"/>
        <w:gridCol w:w="101"/>
      </w:tblGrid>
      <w:tr w:rsidR="00B04E6B" w14:paraId="17F71641" w14:textId="77777777">
        <w:trPr>
          <w:trHeight w:val="585"/>
          <w:tblHeader/>
          <w:tblCellSpacing w:w="15" w:type="dxa"/>
        </w:trPr>
        <w:tc>
          <w:tcPr>
            <w:tcW w:w="0" w:type="auto"/>
            <w:vAlign w:val="center"/>
          </w:tcPr>
          <w:p w14:paraId="7E6B1F2E" w14:textId="77777777" w:rsidR="00B04E6B" w:rsidRDefault="00000000">
            <w:r>
              <w:rPr>
                <w:lang w:eastAsia="zh-CN"/>
              </w:rPr>
              <w:t>Comparison</w:t>
            </w:r>
          </w:p>
        </w:tc>
        <w:tc>
          <w:tcPr>
            <w:tcW w:w="0" w:type="auto"/>
            <w:vAlign w:val="center"/>
          </w:tcPr>
          <w:p w14:paraId="6E983386" w14:textId="77777777" w:rsidR="00B04E6B" w:rsidRDefault="00000000">
            <w:r>
              <w:rPr>
                <w:lang w:eastAsia="zh-CN"/>
              </w:rPr>
              <w:t>Adjusted p-value</w:t>
            </w:r>
          </w:p>
        </w:tc>
        <w:tc>
          <w:tcPr>
            <w:tcW w:w="0" w:type="auto"/>
            <w:vAlign w:val="center"/>
          </w:tcPr>
          <w:p w14:paraId="5FFD99C8" w14:textId="77777777" w:rsidR="00B04E6B" w:rsidRDefault="00000000">
            <w:r>
              <w:rPr>
                <w:lang w:eastAsia="zh-CN"/>
              </w:rPr>
              <w:t>Interpretation</w:t>
            </w:r>
          </w:p>
        </w:tc>
        <w:tc>
          <w:tcPr>
            <w:tcW w:w="0" w:type="auto"/>
            <w:vAlign w:val="center"/>
          </w:tcPr>
          <w:p w14:paraId="1F018279" w14:textId="77777777" w:rsidR="00B04E6B" w:rsidRDefault="00B04E6B">
            <w:pPr>
              <w:rPr>
                <w:lang w:eastAsia="zh-CN"/>
              </w:rPr>
            </w:pPr>
          </w:p>
        </w:tc>
      </w:tr>
      <w:tr w:rsidR="00B04E6B" w14:paraId="65396B1F" w14:textId="77777777">
        <w:trPr>
          <w:trHeight w:val="561"/>
          <w:tblCellSpacing w:w="15" w:type="dxa"/>
        </w:trPr>
        <w:tc>
          <w:tcPr>
            <w:tcW w:w="0" w:type="auto"/>
            <w:vAlign w:val="center"/>
          </w:tcPr>
          <w:p w14:paraId="7D1D7B39" w14:textId="77777777" w:rsidR="00B04E6B" w:rsidRDefault="00000000">
            <w:r>
              <w:rPr>
                <w:lang w:eastAsia="zh-CN"/>
              </w:rPr>
              <w:t>Low vs Moderate</w:t>
            </w:r>
          </w:p>
        </w:tc>
        <w:tc>
          <w:tcPr>
            <w:tcW w:w="0" w:type="auto"/>
            <w:vAlign w:val="center"/>
          </w:tcPr>
          <w:p w14:paraId="6F0D4213" w14:textId="77777777" w:rsidR="00B04E6B" w:rsidRDefault="00000000">
            <w:r>
              <w:rPr>
                <w:lang w:eastAsia="zh-CN"/>
              </w:rPr>
              <w:t>0.0279</w:t>
            </w:r>
          </w:p>
        </w:tc>
        <w:tc>
          <w:tcPr>
            <w:tcW w:w="0" w:type="auto"/>
            <w:vAlign w:val="center"/>
          </w:tcPr>
          <w:p w14:paraId="6AACC338" w14:textId="77777777" w:rsidR="00B04E6B" w:rsidRDefault="00000000">
            <w:r>
              <w:rPr>
                <w:lang w:eastAsia="zh-CN"/>
              </w:rPr>
              <w:t>Significant</w:t>
            </w:r>
          </w:p>
        </w:tc>
        <w:tc>
          <w:tcPr>
            <w:tcW w:w="0" w:type="auto"/>
            <w:vAlign w:val="center"/>
          </w:tcPr>
          <w:p w14:paraId="00CA1FFA" w14:textId="77777777" w:rsidR="00B04E6B" w:rsidRDefault="00B04E6B">
            <w:pPr>
              <w:rPr>
                <w:lang w:eastAsia="zh-CN"/>
              </w:rPr>
            </w:pPr>
          </w:p>
        </w:tc>
      </w:tr>
      <w:tr w:rsidR="00B04E6B" w14:paraId="1A784F2E" w14:textId="77777777">
        <w:trPr>
          <w:trHeight w:val="561"/>
          <w:tblCellSpacing w:w="15" w:type="dxa"/>
        </w:trPr>
        <w:tc>
          <w:tcPr>
            <w:tcW w:w="0" w:type="auto"/>
            <w:vAlign w:val="center"/>
          </w:tcPr>
          <w:p w14:paraId="66CF7208" w14:textId="77777777" w:rsidR="00B04E6B" w:rsidRDefault="00000000">
            <w:r>
              <w:rPr>
                <w:lang w:eastAsia="zh-CN"/>
              </w:rPr>
              <w:t>Low vs High</w:t>
            </w:r>
          </w:p>
        </w:tc>
        <w:tc>
          <w:tcPr>
            <w:tcW w:w="0" w:type="auto"/>
            <w:vAlign w:val="center"/>
          </w:tcPr>
          <w:p w14:paraId="3F56862E" w14:textId="77777777" w:rsidR="00B04E6B" w:rsidRDefault="00000000">
            <w:r>
              <w:rPr>
                <w:lang w:eastAsia="zh-CN"/>
              </w:rPr>
              <w:t>0.0004</w:t>
            </w:r>
          </w:p>
        </w:tc>
        <w:tc>
          <w:tcPr>
            <w:tcW w:w="0" w:type="auto"/>
            <w:vAlign w:val="center"/>
          </w:tcPr>
          <w:p w14:paraId="7566746A" w14:textId="77777777" w:rsidR="00B04E6B" w:rsidRDefault="00000000">
            <w:r>
              <w:rPr>
                <w:lang w:eastAsia="zh-CN"/>
              </w:rPr>
              <w:t>Significant</w:t>
            </w:r>
          </w:p>
        </w:tc>
        <w:tc>
          <w:tcPr>
            <w:tcW w:w="0" w:type="auto"/>
            <w:vAlign w:val="center"/>
          </w:tcPr>
          <w:p w14:paraId="768D0150" w14:textId="77777777" w:rsidR="00B04E6B" w:rsidRDefault="00B04E6B">
            <w:pPr>
              <w:rPr>
                <w:lang w:eastAsia="zh-CN"/>
              </w:rPr>
            </w:pPr>
          </w:p>
        </w:tc>
      </w:tr>
      <w:tr w:rsidR="00B04E6B" w14:paraId="0ACB9F2D" w14:textId="77777777">
        <w:trPr>
          <w:trHeight w:val="585"/>
          <w:tblCellSpacing w:w="15" w:type="dxa"/>
        </w:trPr>
        <w:tc>
          <w:tcPr>
            <w:tcW w:w="0" w:type="auto"/>
            <w:vAlign w:val="center"/>
          </w:tcPr>
          <w:p w14:paraId="14824798" w14:textId="77777777" w:rsidR="00B04E6B" w:rsidRDefault="00000000">
            <w:r>
              <w:rPr>
                <w:lang w:eastAsia="zh-CN"/>
              </w:rPr>
              <w:t>Moderate vs High</w:t>
            </w:r>
          </w:p>
        </w:tc>
        <w:tc>
          <w:tcPr>
            <w:tcW w:w="0" w:type="auto"/>
            <w:vAlign w:val="center"/>
          </w:tcPr>
          <w:p w14:paraId="65014851" w14:textId="77777777" w:rsidR="00B04E6B" w:rsidRDefault="00000000">
            <w:r>
              <w:rPr>
                <w:lang w:eastAsia="zh-CN"/>
              </w:rPr>
              <w:t>0.0441</w:t>
            </w:r>
          </w:p>
        </w:tc>
        <w:tc>
          <w:tcPr>
            <w:tcW w:w="0" w:type="auto"/>
            <w:vAlign w:val="center"/>
          </w:tcPr>
          <w:p w14:paraId="7D402ACE" w14:textId="77777777" w:rsidR="00B04E6B" w:rsidRDefault="00000000">
            <w:r>
              <w:rPr>
                <w:lang w:eastAsia="zh-CN"/>
              </w:rPr>
              <w:t>Significant</w:t>
            </w:r>
          </w:p>
        </w:tc>
        <w:tc>
          <w:tcPr>
            <w:tcW w:w="0" w:type="auto"/>
            <w:vAlign w:val="center"/>
          </w:tcPr>
          <w:p w14:paraId="21B729CF" w14:textId="77777777" w:rsidR="00B04E6B" w:rsidRDefault="00B04E6B">
            <w:pPr>
              <w:rPr>
                <w:lang w:eastAsia="zh-CN"/>
              </w:rPr>
            </w:pPr>
          </w:p>
        </w:tc>
      </w:tr>
    </w:tbl>
    <w:p w14:paraId="40A644EF" w14:textId="77777777" w:rsidR="00B04E6B" w:rsidRDefault="00B04E6B"/>
    <w:p w14:paraId="45AF5885" w14:textId="77777777" w:rsidR="00B04E6B" w:rsidRDefault="00B04E6B"/>
    <w:p w14:paraId="72E3BC08" w14:textId="77777777" w:rsidR="00B04E6B" w:rsidRDefault="00000000">
      <w:r>
        <w:rPr>
          <w:noProof/>
        </w:rPr>
        <w:lastRenderedPageBreak/>
        <w:drawing>
          <wp:inline distT="0" distB="0" distL="0" distR="0" wp14:anchorId="0E54E11A" wp14:editId="694C6BF3">
            <wp:extent cx="4934585" cy="3343275"/>
            <wp:effectExtent l="0" t="0" r="0" b="9525"/>
            <wp:docPr id="176777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6790" name="Picture 1"/>
                    <pic:cNvPicPr>
                      <a:picLocks noChangeAspect="1"/>
                    </pic:cNvPicPr>
                  </pic:nvPicPr>
                  <pic:blipFill>
                    <a:blip r:embed="rId6"/>
                    <a:stretch>
                      <a:fillRect/>
                    </a:stretch>
                  </pic:blipFill>
                  <pic:spPr>
                    <a:xfrm>
                      <a:off x="0" y="0"/>
                      <a:ext cx="4934639" cy="3343742"/>
                    </a:xfrm>
                    <a:prstGeom prst="rect">
                      <a:avLst/>
                    </a:prstGeom>
                  </pic:spPr>
                </pic:pic>
              </a:graphicData>
            </a:graphic>
          </wp:inline>
        </w:drawing>
      </w:r>
    </w:p>
    <w:p w14:paraId="25B17751" w14:textId="77777777" w:rsidR="00B04E6B" w:rsidRDefault="00B04E6B"/>
    <w:p w14:paraId="243B345F" w14:textId="77777777" w:rsidR="00B04E6B" w:rsidRDefault="00B04E6B"/>
    <w:sectPr w:rsidR="00B04E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17EC9" w14:textId="77777777" w:rsidR="003B3F4A" w:rsidRDefault="003B3F4A">
      <w:pPr>
        <w:spacing w:line="240" w:lineRule="auto"/>
      </w:pPr>
      <w:r>
        <w:separator/>
      </w:r>
    </w:p>
  </w:endnote>
  <w:endnote w:type="continuationSeparator" w:id="0">
    <w:p w14:paraId="55D696A2" w14:textId="77777777" w:rsidR="003B3F4A" w:rsidRDefault="003B3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E9D27" w14:textId="77777777" w:rsidR="003B3F4A" w:rsidRDefault="003B3F4A">
      <w:pPr>
        <w:spacing w:after="0"/>
      </w:pPr>
      <w:r>
        <w:separator/>
      </w:r>
    </w:p>
  </w:footnote>
  <w:footnote w:type="continuationSeparator" w:id="0">
    <w:p w14:paraId="2C1F6FDB" w14:textId="77777777" w:rsidR="003B3F4A" w:rsidRDefault="003B3F4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3EA"/>
    <w:rsid w:val="00133085"/>
    <w:rsid w:val="003B3F4A"/>
    <w:rsid w:val="00432773"/>
    <w:rsid w:val="006F3D27"/>
    <w:rsid w:val="007131B6"/>
    <w:rsid w:val="007F228B"/>
    <w:rsid w:val="00A32176"/>
    <w:rsid w:val="00A45A3B"/>
    <w:rsid w:val="00A736B2"/>
    <w:rsid w:val="00B04E6B"/>
    <w:rsid w:val="00C4051E"/>
    <w:rsid w:val="00CC7CB2"/>
    <w:rsid w:val="00D40816"/>
    <w:rsid w:val="00E52752"/>
    <w:rsid w:val="00EE13EA"/>
    <w:rsid w:val="00FD45E1"/>
    <w:rsid w:val="43F11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EB6C9"/>
  <w15:docId w15:val="{A3C3BA69-AEA4-49DD-8B1A-03966032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7</Pages>
  <Words>2071</Words>
  <Characters>11805</Characters>
  <Application>Microsoft Office Word</Application>
  <DocSecurity>0</DocSecurity>
  <Lines>98</Lines>
  <Paragraphs>27</Paragraphs>
  <ScaleCrop>false</ScaleCrop>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Library</dc:creator>
  <cp:lastModifiedBy>Library</cp:lastModifiedBy>
  <cp:revision>4</cp:revision>
  <dcterms:created xsi:type="dcterms:W3CDTF">2026-07-13T07:47:00Z</dcterms:created>
  <dcterms:modified xsi:type="dcterms:W3CDTF">2026-07-13T09:20:00Z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eyJoZGlkIjoiMjQ0ZjNmZmZhMTFlMDIyZDg0ZTYzMTM0Y2M5ODA1ZjMifQ==</vt:lpwstr>
  </property>
  <property fmtid="{D5CDD505-2E9C-101B-9397-08002B2CF9AE}" pid="3" name="KSOProductBuildVer">
    <vt:lpwstr>1033-12.1.0.26880</vt:lpwstr>
  </property>
  <property fmtid="{D5CDD505-2E9C-101B-9397-08002B2CF9AE}" pid="4" name="ICV">
    <vt:lpwstr>CC17B79CC12E42DA83F8278022B67DFA_12</vt:lpwstr>
  </property>
</Properties>
</file>