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Inter" w:hAnsi="Inter"/>
          <w:b/>
          <w:color w:val="0F766E"/>
          <w:sz w:val="15"/>
        </w:rPr>
        <w:t>FLYRANK AI  /  GENERAL AI FLUENCY  /  WEEK 3</w:t>
      </w:r>
    </w:p>
    <w:p>
      <w:pPr>
        <w:spacing w:after="0"/>
      </w:pPr>
      <w:r>
        <w:rPr>
          <w:rFonts w:ascii="Inter" w:hAnsi="Inter"/>
          <w:b/>
          <w:color w:val="0B1F1E"/>
          <w:sz w:val="52"/>
        </w:rPr>
        <w:t>Decide Once:</w:t>
      </w:r>
      <w:r>
        <w:rPr>
          <w:rFonts w:ascii="Inter" w:hAnsi="Inter"/>
          <w:b/>
          <w:color w:val="0F766E"/>
          <w:sz w:val="44"/>
        </w:rPr>
        <w:t xml:space="preserve"> Build Your Identity Kit</w:t>
      </w:r>
    </w:p>
    <w:p>
      <w:pPr>
        <w:spacing w:after="140"/>
      </w:pPr>
      <w:r>
        <w:rPr>
          <w:b/>
          <w:color w:val="526262"/>
          <w:sz w:val="16"/>
        </w:rPr>
        <w:t>SHAHMIR QURESHI  •  PERSONAL PORTFOLIO VISUAL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2232"/>
            <w:shd w:fill="F7FAF9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34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_clean_minimal_graphic_logo_image_on_a_plain_b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48"/>
            <w:shd w:fill="F7FAF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F766E"/>
                <w:sz w:val="16"/>
              </w:rPr>
              <w:t>THE VISUAL IDEA</w:t>
            </w:r>
          </w:p>
          <w:p>
            <w:pPr>
              <w:spacing w:after="40"/>
            </w:pPr>
            <w:r>
              <w:rPr>
                <w:rFonts w:ascii="Inter" w:hAnsi="Inter"/>
                <w:b/>
                <w:color w:val="0B1F1E"/>
                <w:sz w:val="32"/>
              </w:rPr>
              <w:t>Calm, clear, capable.</w:t>
            </w:r>
          </w:p>
          <w:p>
            <w:pPr>
              <w:spacing w:after="0"/>
            </w:pPr>
            <w:r>
              <w:rPr>
                <w:rFonts w:ascii="Inter" w:hAnsi="Inter"/>
                <w:color w:val="526262"/>
                <w:sz w:val="18"/>
              </w:rPr>
              <w:t>A quiet, confident frame for web development, data, and AI projects. Real work and evidence should attract attention—not decorative effects.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184"/>
      </w:tblGrid>
      <w:tr>
        <w:tc>
          <w:tcPr>
            <w:tcW w:type="dxa" w:w="522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F766E"/>
                <w:sz w:val="16"/>
              </w:rPr>
              <w:t>01  TYPOGRAPHY</w:t>
            </w:r>
          </w:p>
          <w:p>
            <w:pPr>
              <w:spacing w:after="20"/>
            </w:pPr>
            <w:r>
              <w:rPr>
                <w:rFonts w:ascii="Inter" w:hAnsi="Inter"/>
                <w:b/>
                <w:color w:val="526262"/>
                <w:sz w:val="30"/>
              </w:rPr>
              <w:t>Inter</w:t>
            </w:r>
          </w:p>
          <w:p>
            <w:pPr>
              <w:spacing w:after="60"/>
            </w:pPr>
            <w:r>
              <w:rPr>
                <w:rFonts w:ascii="Inter" w:hAnsi="Inter"/>
                <w:color w:val="526262"/>
                <w:sz w:val="17"/>
              </w:rPr>
              <w:t>One free Google Font, used consistently in two weights.</w:t>
            </w:r>
          </w:p>
          <w:p>
            <w:pPr>
              <w:spacing w:after="20"/>
            </w:pPr>
            <w:r>
              <w:rPr>
                <w:rFonts w:ascii="Inter" w:hAnsi="Inter"/>
                <w:b/>
                <w:color w:val="526262"/>
                <w:sz w:val="17"/>
              </w:rPr>
              <w:t xml:space="preserve">Headings  </w:t>
            </w:r>
            <w:r>
              <w:rPr>
                <w:rFonts w:ascii="Inter" w:hAnsi="Inter"/>
                <w:color w:val="526262"/>
                <w:sz w:val="17"/>
              </w:rPr>
              <w:t>Inter Bold (700), 30–44 px</w:t>
            </w:r>
          </w:p>
          <w:p>
            <w:pPr>
              <w:spacing w:after="20"/>
            </w:pPr>
            <w:r>
              <w:rPr>
                <w:rFonts w:ascii="Inter" w:hAnsi="Inter"/>
                <w:b/>
                <w:color w:val="526262"/>
                <w:sz w:val="17"/>
              </w:rPr>
              <w:t xml:space="preserve">Body  </w:t>
            </w:r>
            <w:r>
              <w:rPr>
                <w:rFonts w:ascii="Inter" w:hAnsi="Inter"/>
                <w:color w:val="526262"/>
                <w:sz w:val="17"/>
              </w:rPr>
              <w:t>Inter Regular (400), 16–18 px</w:t>
            </w:r>
          </w:p>
          <w:p>
            <w:pPr>
              <w:spacing w:after="0"/>
            </w:pPr>
            <w:r>
              <w:rPr>
                <w:rFonts w:ascii="Inter" w:hAnsi="Inter"/>
                <w:b/>
                <w:color w:val="526262"/>
                <w:sz w:val="17"/>
              </w:rPr>
              <w:t xml:space="preserve">Labels  </w:t>
            </w:r>
            <w:r>
              <w:rPr>
                <w:rFonts w:ascii="Inter" w:hAnsi="Inter"/>
                <w:color w:val="526262"/>
                <w:sz w:val="17"/>
              </w:rPr>
              <w:t>Inter Medium (500), 11–12 px</w:t>
            </w:r>
          </w:p>
        </w:tc>
        <w:tc>
          <w:tcPr>
            <w:tcW w:type="dxa" w:w="5227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F766E"/>
                <w:sz w:val="16"/>
              </w:rPr>
              <w:t>02  COLOR PALETTE</w:t>
            </w:r>
          </w:p>
          <w:p>
            <w:pPr>
              <w:spacing w:after="40"/>
            </w:pPr>
            <w:r>
              <w:rPr>
                <w:rFonts w:ascii="Arial" w:hAnsi="Arial"/>
                <w:color w:val="0F766E"/>
                <w:sz w:val="22"/>
              </w:rPr>
              <w:t xml:space="preserve">■  </w:t>
            </w:r>
            <w:r>
              <w:rPr>
                <w:b/>
                <w:color w:val="0B1F1E"/>
                <w:sz w:val="17"/>
              </w:rPr>
              <w:t xml:space="preserve">Main teal  </w:t>
            </w:r>
            <w:r>
              <w:rPr>
                <w:color w:val="0F766E"/>
                <w:sz w:val="17"/>
              </w:rPr>
              <w:t>#0F766E</w:t>
            </w:r>
          </w:p>
          <w:p>
            <w:pPr>
              <w:spacing w:after="40"/>
            </w:pPr>
            <w:r>
              <w:rPr>
                <w:rFonts w:ascii="Arial" w:hAnsi="Arial"/>
                <w:color w:val="0B1F1E"/>
                <w:sz w:val="22"/>
              </w:rPr>
              <w:t xml:space="preserve">■  </w:t>
            </w:r>
            <w:r>
              <w:rPr>
                <w:b/>
                <w:color w:val="0B1F1E"/>
                <w:sz w:val="17"/>
              </w:rPr>
              <w:t xml:space="preserve">Near-black text  </w:t>
            </w:r>
            <w:r>
              <w:rPr>
                <w:color w:val="0B1F1E"/>
                <w:sz w:val="17"/>
              </w:rPr>
              <w:t>#0B1F1E</w:t>
            </w:r>
          </w:p>
          <w:p>
            <w:pPr>
              <w:spacing w:after="40"/>
            </w:pPr>
            <w:r>
              <w:rPr>
                <w:rFonts w:ascii="Arial" w:hAnsi="Arial"/>
                <w:color w:val="D9E3E0"/>
                <w:sz w:val="22"/>
              </w:rPr>
              <w:t xml:space="preserve">■  </w:t>
            </w:r>
            <w:r>
              <w:rPr>
                <w:b/>
                <w:color w:val="0B1F1E"/>
                <w:sz w:val="17"/>
              </w:rPr>
              <w:t xml:space="preserve">Near-white background  </w:t>
            </w:r>
            <w:r>
              <w:rPr>
                <w:color w:val="0B1F1E"/>
                <w:sz w:val="17"/>
              </w:rPr>
              <w:t>#F7FAF9</w:t>
            </w:r>
          </w:p>
          <w:p>
            <w:pPr>
              <w:spacing w:after="40"/>
            </w:pPr>
            <w:r>
              <w:rPr>
                <w:rFonts w:ascii="Arial" w:hAnsi="Arial"/>
                <w:color w:val="DDF5EA"/>
                <w:sz w:val="22"/>
              </w:rPr>
              <w:t xml:space="preserve">■  </w:t>
            </w:r>
            <w:r>
              <w:rPr>
                <w:b/>
                <w:color w:val="0B1F1E"/>
                <w:sz w:val="17"/>
              </w:rPr>
              <w:t xml:space="preserve">Pale mint accent  </w:t>
            </w:r>
            <w:r>
              <w:rPr>
                <w:color w:val="0B1F1E"/>
                <w:sz w:val="17"/>
              </w:rPr>
              <w:t>#DDF5EA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0F766E"/>
          <w:sz w:val="16"/>
        </w:rPr>
        <w:t>03  LOGO / FAVICON</w:t>
      </w:r>
    </w:p>
    <w:p>
      <w:pPr>
        <w:spacing w:after="100"/>
      </w:pPr>
      <w:r>
        <w:t>Use the SQ monogram as the portfolio mark and browser favicon. Keep it on a near-white field, preserve clear space around it, and do not add shadows, gradients, outlines, or extra symbols.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DF5EA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F766E"/>
                <w:sz w:val="16"/>
              </w:rPr>
              <w:t>04  TWO-LINE STYLE NOTE  ·  COPY INTO YOUR AI WORKSPACE</w:t>
            </w:r>
          </w:p>
          <w:p>
            <w:pPr>
              <w:spacing w:after="20"/>
            </w:pPr>
            <w:r>
              <w:rPr>
                <w:rFonts w:ascii="Inter" w:hAnsi="Inter"/>
                <w:color w:val="0B1F1E"/>
                <w:sz w:val="18"/>
              </w:rPr>
              <w:t>Use Inter throughout: bold, compact headings; readable 16–18 px body text; small labels only for metadata. Use #0B1F1E text on #F7FAF9, #0F766E for links and primary actions, and #DDF5EA as the only accent.</w:t>
            </w:r>
          </w:p>
          <w:p>
            <w:pPr>
              <w:spacing w:after="0"/>
            </w:pPr>
            <w:r>
              <w:rPr>
                <w:rFonts w:ascii="Inter" w:hAnsi="Inter"/>
                <w:color w:val="0B1F1E"/>
                <w:sz w:val="18"/>
              </w:rPr>
              <w:t>Keep generous whitespace and consistent spacing; use simple shapes and real project screenshots, and never let the visual design compete with the proof.</w:t>
            </w:r>
          </w:p>
        </w:tc>
      </w:tr>
    </w:tbl>
    <w:p>
      <w:pPr>
        <w:spacing w:before="100" w:after="0"/>
      </w:pPr>
      <w:r>
        <w:rPr>
          <w:b/>
          <w:color w:val="0F766E"/>
          <w:sz w:val="16"/>
        </w:rPr>
        <w:t xml:space="preserve">DECISION RULE: </w:t>
      </w:r>
      <w:r>
        <w:rPr>
          <w:color w:val="526262"/>
          <w:sz w:val="16"/>
        </w:rPr>
        <w:t>Consistency beats decoration. Repeat these choices across every page and case study.</w:t>
      </w:r>
    </w:p>
    <w:sectPr w:rsidR="00FC693F" w:rsidRPr="0006063C" w:rsidSect="00034616">
      <w:footerReference w:type="default" r:id="rId10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526262"/>
        <w:sz w:val="15"/>
      </w:rPr>
      <w:t>Shahmir Qureshi  •  Week 3 Identity 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Inter" w:hAnsi="Inter"/>
      <w:color w:val="52626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