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This is likely to be true in the case of monopolistic and oligopolistic markets as well.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“Indeed, the system of perfect liberty leaves the state only three duties to attend to: defence, justice and certain public works.” — The Condensed Wealth of Nations, Page 59</w:t>
        <w:br/>
        <w:t xml:space="preserve">  </w:t>
      </w:r>
      <w:r>
        <w:rPr>
          <w:rFonts w:ascii="Calibri" w:hAnsi="Calibri" w:cs="Calibri" w:eastAsia="Calibri"/>
          <w:color w:val="auto"/>
          <w:spacing w:val="0"/>
          <w:position w:val="0"/>
          <w:sz w:val="22"/>
          <w:shd w:fill="auto" w:val="clear"/>
        </w:rPr>
        <w:t xml:space="preserve">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How will systems like the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187" w:dyaOrig="5232">
          <v:rect xmlns:o="urn:schemas-microsoft-com:office:office" xmlns:v="urn:schemas-microsoft-com:vml" id="rectole0000000000" style="width:409.350000pt;height:26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3">
    <w:abstractNumId w:val="198"/>
  </w:num>
  <w:num w:numId="61">
    <w:abstractNumId w:val="192"/>
  </w:num>
  <w:num w:numId="63">
    <w:abstractNumId w:val="186"/>
  </w:num>
  <w:num w:numId="65">
    <w:abstractNumId w:val="180"/>
  </w:num>
  <w:num w:numId="67">
    <w:abstractNumId w:val="174"/>
  </w:num>
  <w:num w:numId="69">
    <w:abstractNumId w:val="168"/>
  </w:num>
  <w:num w:numId="71">
    <w:abstractNumId w:val="162"/>
  </w:num>
  <w:num w:numId="73">
    <w:abstractNumId w:val="156"/>
  </w:num>
  <w:num w:numId="75">
    <w:abstractNumId w:val="150"/>
  </w:num>
  <w:num w:numId="77">
    <w:abstractNumId w:val="144"/>
  </w:num>
  <w:num w:numId="79">
    <w:abstractNumId w:val="138"/>
  </w:num>
  <w:num w:numId="81">
    <w:abstractNumId w:val="132"/>
  </w:num>
  <w:num w:numId="83">
    <w:abstractNumId w:val="126"/>
  </w:num>
  <w:num w:numId="85">
    <w:abstractNumId w:val="120"/>
  </w:num>
  <w:num w:numId="87">
    <w:abstractNumId w:val="114"/>
  </w:num>
  <w:num w:numId="89">
    <w:abstractNumId w:val="108"/>
  </w:num>
  <w:num w:numId="91">
    <w:abstractNumId w:val="102"/>
  </w:num>
  <w:num w:numId="93">
    <w:abstractNumId w:val="96"/>
  </w:num>
  <w:num w:numId="95">
    <w:abstractNumId w:val="90"/>
  </w:num>
  <w:num w:numId="97">
    <w:abstractNumId w:val="84"/>
  </w:num>
  <w:num w:numId="99">
    <w:abstractNumId w:val="78"/>
  </w:num>
  <w:num w:numId="101">
    <w:abstractNumId w:val="72"/>
  </w:num>
  <w:num w:numId="103">
    <w:abstractNumId w:val="66"/>
  </w:num>
  <w:num w:numId="105">
    <w:abstractNumId w:val="60"/>
  </w:num>
  <w:num w:numId="109">
    <w:abstractNumId w:val="54"/>
  </w:num>
  <w:num w:numId="111">
    <w:abstractNumId w:val="48"/>
  </w:num>
  <w:num w:numId="113">
    <w:abstractNumId w:val="42"/>
  </w:num>
  <w:num w:numId="115">
    <w:abstractNumId w:val="36"/>
  </w:num>
  <w:num w:numId="117">
    <w:abstractNumId w:val="30"/>
  </w:num>
  <w:num w:numId="119">
    <w:abstractNumId w:val="24"/>
  </w:num>
  <w:num w:numId="121">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