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Para Bellum</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exploitations. Without any property and with only one ruling class, the exploitation without resistance was inevitable.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remaining objective means, we value a proper system more than our personal preferences.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yeild high profits. Profits is their primary concern, anything else is secondary. The simple fact that the interests of the "ruling class" and the general public are not aligned is definitely a challenge to be overcome.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luxuris of life which the latter deserves more, especially if the former is a criminal.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repititive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transferrable: transferrability of money causes problems like bribe, blackmail, theft, hidden source, transfer of diseases, etc. Key decision-makers being influenced by the "ruling class" is a threat to objective decision-making.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forrest-fire.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millenias. I cannot think of any good enough reason to not utilize our advanced technology to come up with a better, more sustainable and more humane system than Capitalism and Communism.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