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yeild high profits. Profits is their primary concern, anything else is secondary. The simple fact that the interests of the "ruling class" and the general public are not aligned is definitely a challenge to be overcome.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luxuris of life which the latter deserves more, especially if the former is a criminal.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repititive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transferrable: transferrability of money causes problems like bribe, blackmail, theft, hidden source, transfer of diseases, etc. Key decision-makers being influenced by the "ruling class" is a threat to objective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millenias. I cannot think of any good enough reason to not utilize our advanced technology to come up with a better, more sustainable and more humane system than Capitalism and Communism.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registery.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travelling, communicating, cleaning and other free necessitie, your NPs for limited necessities and your RPs for luxuries such as toys, hotels, cinemas, etc. And so, life goes on. You experience, you learn and grow.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neglibile. "Quite so," he confirms. The property she inherited was just a small piece of land in a village. "The government will handle that now," he explains, referring to the small piece of 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desirers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threatning me. I think he will make the best use of my wealth," you 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