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01: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Write 1 JTBD Statement Use this format: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“When I ___, I want to ___, so I can ___.”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I</w:t>
      </w:r>
      <w:r w:rsidDel="00000000" w:rsidR="00000000" w:rsidRPr="00000000">
        <w:rPr>
          <w:sz w:val="24"/>
          <w:szCs w:val="24"/>
          <w:rtl w:val="0"/>
        </w:rPr>
        <w:t xml:space="preserve"> want to upgrade my gaming setup with the latest gear in Pakistan,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want to</w:t>
      </w:r>
      <w:r w:rsidDel="00000000" w:rsidR="00000000" w:rsidRPr="00000000">
        <w:rPr>
          <w:sz w:val="24"/>
          <w:szCs w:val="24"/>
          <w:rtl w:val="0"/>
        </w:rPr>
        <w:t xml:space="preserve"> easily verify that the gaming peripherals (like mice or keyboards) are 100% authentic and come with a valid local warranty,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 I can</w:t>
      </w:r>
      <w:r w:rsidDel="00000000" w:rsidR="00000000" w:rsidRPr="00000000">
        <w:rPr>
          <w:sz w:val="24"/>
          <w:szCs w:val="24"/>
          <w:rtl w:val="0"/>
        </w:rPr>
        <w:t xml:space="preserve"> purchase expensive equipment confidently without the fear of buying counterfeits or losing my money.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02: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 Simple Journey Map Write the user’s shopping steps and attach 1 screenshot from any gaming eCommerce website for inspiration.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journey map outlines the standard phases a Pakistani gamer goes through from initially searching for a product to the final checkout phase.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2700"/>
        <w:gridCol w:w="2670"/>
        <w:gridCol w:w="2175"/>
        <w:tblGridChange w:id="0">
          <w:tblGrid>
            <w:gridCol w:w="1215"/>
            <w:gridCol w:w="2700"/>
            <w:gridCol w:w="2670"/>
            <w:gridCol w:w="217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1. Discovery &amp;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2.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 3. Cart &amp;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user lands on the homepage, uses the search bar to find a specific product (e.g., </w:t>
            </w: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Logitech G Pro X Superlight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), or browses the "New Arrivals" section.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user reads the product description, looks for price, checks shipping costs to their city, and searches for "Official Warranty" tags or reviews.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user adds the item to the cart, clicks "Proceed to Checkout", and begins entering their shipping and payment details.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User 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"Does this store have the latest model in stock, or is it outdated?"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"Is this product actually original? The price seems lower/higher than expected."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"Why is the shipping fee so high? Do they support Cash on Delivery (COD)?"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Excited but cautious.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Skeptical, searching for trust signals.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Anxious about hidden charges or payment security.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553269" cy="47346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797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269" cy="4734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03: 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 1 Main Friction Point Identify one reason users may leave before checkout. 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Friction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Lack of Visible Authenticity Proof &amp; Unexpected Hidden Costs at Checkout.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Pakistan's ecommerce landscape, trust is a massive barrier. When gamers reach the final checkout page and see ambiguous shipping fees, no clear mention of an official warranty, or a lack of a Cash on Delivery (COD) option for premium items, they experience instant buyer's remorse and anxiety. Without explicit "100% Authentic Product" badges or transparent final pricing on the product page itself, they choose to leave the site rather than risk their money.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