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b/>
          <w:color w:val="1A1A2E"/>
          <w:sz w:val="44"/>
        </w:rPr>
        <w:t>Granite</w:t>
      </w:r>
    </w:p>
    <w:p>
      <w:pPr>
        <w:jc w:val="center"/>
      </w:pPr>
      <w:r>
        <w:rPr>
          <w:color w:val="666666"/>
          <w:sz w:val="24"/>
        </w:rPr>
        <w:t>Complex Computing Problem Justification</w:t>
      </w:r>
    </w:p>
    <w:p>
      <w:pPr>
        <w:jc w:val="center"/>
      </w:pPr>
      <w:r>
        <w:rPr>
          <w:color w:val="666666"/>
          <w:sz w:val="24"/>
        </w:rPr>
        <w:t>Per Seoul Accord Sections D.4.1 and D.4.2</w:t>
      </w:r>
    </w:p>
    <w:p>
      <w:pPr>
        <w:spacing w:after="120"/>
      </w:pPr>
      <w:r>
        <w:rPr>
          <w:b w:val="0"/>
          <w:i w:val="0"/>
          <w:sz w:val="21"/>
        </w:rPr>
      </w:r>
    </w:p>
    <w:p>
      <w:pPr>
        <w:spacing w:after="120"/>
      </w:pPr>
      <w:r>
        <w:rPr>
          <w:b w:val="0"/>
          <w:i/>
          <w:color w:val="666666"/>
          <w:sz w:val="21"/>
        </w:rPr>
        <w:t>Prepared 2026-08-23. Every selection below is drawn from evidence already on record in this project — 7 run POC spikes, a 9+ paper literature review, and a 7-platform commercial market check — not asserted without support.</w:t>
      </w:r>
    </w:p>
    <w:p>
      <w:r>
        <w:br w:type="page"/>
      </w:r>
    </w:p>
    <w:p>
      <w:pPr>
        <w:spacing w:before="360" w:after="120"/>
      </w:pPr>
      <w:r>
        <w:rPr>
          <w:b/>
          <w:color w:val="1A1A2E"/>
          <w:sz w:val="28"/>
        </w:rPr>
        <w:t>How to read this document</w:t>
      </w:r>
    </w:p>
    <w:p>
      <w:pPr>
        <w:spacing w:after="120"/>
      </w:pPr>
      <w:r>
        <w:rPr>
          <w:b w:val="0"/>
          <w:i w:val="0"/>
          <w:sz w:val="21"/>
        </w:rPr>
        <w:t>For each of the 9 characteristics in Seoul Accord D.4.1 (Range of Problem Solving), the three tiered descriptions from the accord are reproduced exactly as published, the tier that best describes Granite is checked, and a justification grounded in this project's own evidence follows. One characteristic (#6, stakeholder involvement) is honestly rated at the middle tier, not the top one — see its justification for why, and what would need to happen to raise it.</w:t>
      </w:r>
    </w:p>
    <w:p>
      <w:r>
        <w:br w:type="page"/>
      </w:r>
    </w:p>
    <w:p>
      <w:pPr>
        <w:spacing w:before="360" w:after="120"/>
      </w:pPr>
      <w:r>
        <w:rPr>
          <w:b/>
          <w:color w:val="1A1A2E"/>
          <w:sz w:val="28"/>
        </w:rPr>
        <w:t>1. Range of conflicting requirements</w:t>
      </w:r>
    </w:p>
    <w:p>
      <w:pPr>
        <w:spacing w:after="40"/>
        <w:ind w:left="340"/>
      </w:pPr>
      <w:r>
        <w:rPr>
          <w:b/>
          <w:color w:val="2F7A2F"/>
          <w:sz w:val="20"/>
        </w:rPr>
        <w:t>☑  Involves wide-ranging or conflicting technical, computing, and other issues</w:t>
      </w:r>
    </w:p>
    <w:p>
      <w:pPr>
        <w:spacing w:after="40"/>
        <w:ind w:left="340"/>
      </w:pPr>
      <w:r>
        <w:rPr>
          <w:color w:val="666666"/>
          <w:sz w:val="20"/>
        </w:rPr>
        <w:t>☐  Involves a variety of factors, which may impose conflicting constraints</w:t>
      </w:r>
    </w:p>
    <w:p>
      <w:pPr>
        <w:spacing w:after="40"/>
        <w:ind w:left="340"/>
      </w:pPr>
      <w:r>
        <w:rPr>
          <w:color w:val="666666"/>
          <w:sz w:val="20"/>
        </w:rPr>
        <w:t>☐  Involves several issues, but with few of these exerting conflicting constraints</w:t>
      </w:r>
    </w:p>
    <w:p>
      <w:pPr>
        <w:spacing w:before="160" w:after="80"/>
      </w:pPr>
      <w:r>
        <w:rPr>
          <w:b/>
          <w:color w:val="1E7A8C"/>
          <w:sz w:val="23"/>
        </w:rPr>
        <w:t>Justification</w:t>
      </w:r>
    </w:p>
    <w:p>
      <w:pPr>
        <w:spacing w:after="120"/>
      </w:pPr>
      <w:r>
        <w:rPr>
          <w:b w:val="0"/>
          <w:i w:val="0"/>
          <w:sz w:val="21"/>
        </w:rPr>
        <w:t>Granite has three real, unresolved tensions baked into its own design, not hypothetical ones: (1) diagnostic depth vs. latency — the full 3-stage attribution pipeline (Culprit Agent, Error Step Localization, Verification Agent) is more accurate than a single-pass method but costs more inference time per diagnosis, and the product must expose this trade-off as a configuration choice, not hide it; (2) trace completeness vs. privacy — accurate attribution needs full execution traces, which conflicts directly with data-minimization and privacy requirements for any team handling real user data (the project's own R16 threat model exists precisely because of this conflict); (3) generalization vs. specialization — the cross-architecture claim (working on CrewAI, LangGraph, and a 3rd framework with no per-framework tuning) trades away the accuracy a framework-specific tool could achieve by hard-coding assumptions about one orchestration paradigm.</w:t>
      </w:r>
    </w:p>
    <w:p>
      <w:pPr>
        <w:spacing w:before="80" w:after="80"/>
        <w:pBdr>
          <w:bottom w:val="single" w:sz="4" w:color="CCCCCC"/>
        </w:pBdr>
      </w:pPr>
    </w:p>
    <w:p>
      <w:pPr>
        <w:spacing w:before="360" w:after="120"/>
      </w:pPr>
      <w:r>
        <w:rPr>
          <w:b/>
          <w:color w:val="1A1A2E"/>
          <w:sz w:val="28"/>
        </w:rPr>
        <w:t>2. Depth of analysis required</w:t>
      </w:r>
    </w:p>
    <w:p>
      <w:pPr>
        <w:spacing w:after="40"/>
        <w:ind w:left="340"/>
      </w:pPr>
      <w:r>
        <w:rPr>
          <w:b/>
          <w:color w:val="2F7A2F"/>
          <w:sz w:val="20"/>
        </w:rPr>
        <w:t>☑  Has no obvious solution, and requires conceptual thinking and innovative analysis to formulate suitable abstract models</w:t>
      </w:r>
    </w:p>
    <w:p>
      <w:pPr>
        <w:spacing w:after="40"/>
        <w:ind w:left="340"/>
      </w:pPr>
      <w:r>
        <w:rPr>
          <w:color w:val="666666"/>
          <w:sz w:val="20"/>
        </w:rPr>
        <w:t>☐  Can be solved by application of well-proven analysis techniques</w:t>
      </w:r>
    </w:p>
    <w:p>
      <w:pPr>
        <w:spacing w:after="40"/>
        <w:ind w:left="340"/>
      </w:pPr>
      <w:r>
        <w:rPr>
          <w:color w:val="666666"/>
          <w:sz w:val="20"/>
        </w:rPr>
        <w:t>☐  Can be solved in standardized ways</w:t>
      </w:r>
    </w:p>
    <w:p>
      <w:pPr>
        <w:spacing w:before="160" w:after="80"/>
      </w:pPr>
      <w:r>
        <w:rPr>
          <w:b/>
          <w:color w:val="1E7A8C"/>
          <w:sz w:val="23"/>
        </w:rPr>
        <w:t>Justification</w:t>
      </w:r>
    </w:p>
    <w:p>
      <w:pPr>
        <w:spacing w:after="120"/>
      </w:pPr>
      <w:r>
        <w:rPr>
          <w:b w:val="0"/>
          <w:i w:val="0"/>
          <w:sz w:val="21"/>
        </w:rPr>
        <w:t>The strongest published method in this exact space, ErrorProbe (ACL 2026), still only reaches 59.5% step-level attribution accuracy — after Who&amp;When (ICML 2025) opened the problem and at least 7 papers spent roughly 15 months actively working on it. If a well-proven, standardized analysis technique existed, that number would not still be under 60% after this much sustained research effort. Solving it required building a new abstract model from scratch — representing multi-agent execution as a causal graph, defining counterfactual re-execution semantics, and formulating silent-failure detection as task-constraint verification rather than anomaly detection — none of which existed as an off-the-shelf technique to apply.</w:t>
      </w:r>
    </w:p>
    <w:p>
      <w:pPr>
        <w:spacing w:before="80" w:after="80"/>
        <w:pBdr>
          <w:bottom w:val="single" w:sz="4" w:color="CCCCCC"/>
        </w:pBdr>
      </w:pPr>
    </w:p>
    <w:p>
      <w:pPr>
        <w:spacing w:before="360" w:after="120"/>
      </w:pPr>
      <w:r>
        <w:rPr>
          <w:b/>
          <w:color w:val="1A1A2E"/>
          <w:sz w:val="28"/>
        </w:rPr>
        <w:t>3. Depth of knowledge required</w:t>
      </w:r>
    </w:p>
    <w:p>
      <w:pPr>
        <w:spacing w:after="40"/>
        <w:ind w:left="340"/>
      </w:pPr>
      <w:r>
        <w:rPr>
          <w:b/>
          <w:color w:val="2F7A2F"/>
          <w:sz w:val="20"/>
        </w:rPr>
        <w:t>☑  A solution requires the use of in-depth computing or domain knowledge and an analytical approach that is based on well-founded principles</w:t>
      </w:r>
    </w:p>
    <w:p>
      <w:pPr>
        <w:spacing w:after="40"/>
        <w:ind w:left="340"/>
      </w:pPr>
      <w:r>
        <w:rPr>
          <w:color w:val="666666"/>
          <w:sz w:val="20"/>
        </w:rPr>
        <w:t>☐  A solution requires knowledge of principles, and applied procedures or methodologies</w:t>
      </w:r>
    </w:p>
    <w:p>
      <w:pPr>
        <w:spacing w:after="40"/>
        <w:ind w:left="340"/>
      </w:pPr>
      <w:r>
        <w:rPr>
          <w:color w:val="666666"/>
          <w:sz w:val="20"/>
        </w:rPr>
        <w:t>☐  Can be resolved using limited theoretical knowledge, but normally requires substantial practical knowledge</w:t>
      </w:r>
    </w:p>
    <w:p>
      <w:pPr>
        <w:spacing w:before="160" w:after="80"/>
      </w:pPr>
      <w:r>
        <w:rPr>
          <w:b/>
          <w:color w:val="1E7A8C"/>
          <w:sz w:val="23"/>
        </w:rPr>
        <w:t>Justification</w:t>
      </w:r>
    </w:p>
    <w:p>
      <w:pPr>
        <w:spacing w:after="120"/>
      </w:pPr>
      <w:r>
        <w:rPr>
          <w:b w:val="0"/>
          <w:i w:val="0"/>
          <w:sz w:val="21"/>
        </w:rPr>
        <w:t>The committed core draws on multiple genuinely graduate-level areas at once: execution-graph and causal-graph modeling (including cycle detection and bounded backward tracing, proven in Spike 6), distributed tracing across asynchronous multi-agent systems, counterfactual/causal reasoning for the replay engine (proven in Spike 5), and constraint-based semantic verification for the silent-failure module. None of this is standard undergraduate coursework application — it required reproducing a peer-reviewed paper's own 3-stage architecture (Strategist → Investigator → Arbiter) from its description alone, since ErrorProbe's code is not publicly available.</w:t>
      </w:r>
    </w:p>
    <w:p>
      <w:pPr>
        <w:spacing w:before="80" w:after="80"/>
        <w:pBdr>
          <w:bottom w:val="single" w:sz="4" w:color="CCCCCC"/>
        </w:pBdr>
      </w:pPr>
    </w:p>
    <w:p>
      <w:pPr>
        <w:spacing w:before="360" w:after="120"/>
      </w:pPr>
      <w:r>
        <w:rPr>
          <w:b/>
          <w:color w:val="1A1A2E"/>
          <w:sz w:val="28"/>
        </w:rPr>
        <w:t>4. Familiarity of issues</w:t>
      </w:r>
    </w:p>
    <w:p>
      <w:pPr>
        <w:spacing w:after="40"/>
        <w:ind w:left="340"/>
      </w:pPr>
      <w:r>
        <w:rPr>
          <w:b/>
          <w:color w:val="2F7A2F"/>
          <w:sz w:val="20"/>
        </w:rPr>
        <w:t>☑  Involves infrequently-encountered issues</w:t>
      </w:r>
    </w:p>
    <w:p>
      <w:pPr>
        <w:spacing w:after="40"/>
        <w:ind w:left="340"/>
      </w:pPr>
      <w:r>
        <w:rPr>
          <w:color w:val="666666"/>
          <w:sz w:val="20"/>
        </w:rPr>
        <w:t>☐  Belongs to families of familiar problems, which are solved in well-accepted ways; context may be unfamiliar</w:t>
      </w:r>
    </w:p>
    <w:p>
      <w:pPr>
        <w:spacing w:after="40"/>
        <w:ind w:left="340"/>
      </w:pPr>
      <w:r>
        <w:rPr>
          <w:color w:val="666666"/>
          <w:sz w:val="20"/>
        </w:rPr>
        <w:t>☐  Is frequently encountered and thus familiar to most practitioners in the field; context may be unfamiliar</w:t>
      </w:r>
    </w:p>
    <w:p>
      <w:pPr>
        <w:spacing w:before="160" w:after="80"/>
      </w:pPr>
      <w:r>
        <w:rPr>
          <w:b/>
          <w:color w:val="1E7A8C"/>
          <w:sz w:val="23"/>
        </w:rPr>
        <w:t>Justification</w:t>
      </w:r>
    </w:p>
    <w:p>
      <w:pPr>
        <w:spacing w:after="120"/>
      </w:pPr>
      <w:r>
        <w:rPr>
          <w:b w:val="0"/>
          <w:i w:val="0"/>
          <w:sz w:val="21"/>
        </w:rPr>
        <w:t>Silent failures — an output that is well-formed and passes every standard error check, yet is semantically wrong — are, by construction, invisible to the error-handling patterns most practitioners already know (try/catch, schema validation, HTTP status codes). Spike 4's own natural-occurrence test (n=3 real tasks) found zero naturally-occurring silent failures on the first attempt, which is itself evidence of how infrequently this failure class surfaces in ordinary testing — it has to be deliberately induced (fault injection) or specifically watched for, not stumbled into. Cross-architecture generalization of a diagnosis method is similarly uncommon: the 7-paper literature review found no prior method tested outside its own benchmark's architecture.</w:t>
      </w:r>
    </w:p>
    <w:p>
      <w:pPr>
        <w:spacing w:before="80" w:after="80"/>
        <w:pBdr>
          <w:bottom w:val="single" w:sz="4" w:color="CCCCCC"/>
        </w:pBdr>
      </w:pPr>
    </w:p>
    <w:p>
      <w:pPr>
        <w:spacing w:before="360" w:after="120"/>
      </w:pPr>
      <w:r>
        <w:rPr>
          <w:b/>
          <w:color w:val="1A1A2E"/>
          <w:sz w:val="28"/>
        </w:rPr>
        <w:t>5. Level of problem</w:t>
      </w:r>
    </w:p>
    <w:p>
      <w:pPr>
        <w:spacing w:after="40"/>
        <w:ind w:left="340"/>
      </w:pPr>
      <w:r>
        <w:rPr>
          <w:b/>
          <w:color w:val="2F7A2F"/>
          <w:sz w:val="20"/>
        </w:rPr>
        <w:t>☑  Is outside problems encompassed by standards and standard practice for professional computing</w:t>
      </w:r>
    </w:p>
    <w:p>
      <w:pPr>
        <w:spacing w:after="40"/>
        <w:ind w:left="340"/>
      </w:pPr>
      <w:r>
        <w:rPr>
          <w:color w:val="666666"/>
          <w:sz w:val="20"/>
        </w:rPr>
        <w:t>☐  May be partially outside those encompassed by standards or standard practice</w:t>
      </w:r>
    </w:p>
    <w:p>
      <w:pPr>
        <w:spacing w:after="40"/>
        <w:ind w:left="340"/>
      </w:pPr>
      <w:r>
        <w:rPr>
          <w:color w:val="666666"/>
          <w:sz w:val="20"/>
        </w:rPr>
        <w:t>☐  Is encompassed by standards and/or documented procedures of practice</w:t>
      </w:r>
    </w:p>
    <w:p>
      <w:pPr>
        <w:spacing w:before="160" w:after="80"/>
      </w:pPr>
      <w:r>
        <w:rPr>
          <w:b/>
          <w:color w:val="1E7A8C"/>
          <w:sz w:val="23"/>
        </w:rPr>
        <w:t>Justification</w:t>
      </w:r>
    </w:p>
    <w:p>
      <w:pPr>
        <w:spacing w:after="120"/>
      </w:pPr>
      <w:r>
        <w:rPr>
          <w:b w:val="0"/>
          <w:i w:val="0"/>
          <w:sz w:val="21"/>
        </w:rPr>
        <w:t>No documented industry standard or accepted procedure exists for diagnosing multi-agent AI failures, verifying a fix's recovery rate before applying it, or generally detecting silent failures — this was confirmed directly, not assumed, by checking all 7 major commercial observability platforms (LangSmith, Langfuse, Braintrust, Arize, Maxim AI, Opik, DeepEval). Two (LangSmith Engine, Arize Alyx) have only just begun shipping automated diagnosis features in 2026, and none document counterfactual fix-testing with a measured recovery rate or general silent-failure detection as a standardized, published capability. The practice is actively forming, not settled.</w:t>
      </w:r>
    </w:p>
    <w:p>
      <w:pPr>
        <w:spacing w:before="80" w:after="80"/>
        <w:pBdr>
          <w:bottom w:val="single" w:sz="4" w:color="CCCCCC"/>
        </w:pBdr>
      </w:pPr>
    </w:p>
    <w:p>
      <w:pPr>
        <w:spacing w:before="360" w:after="120"/>
      </w:pPr>
      <w:r>
        <w:rPr>
          <w:b/>
          <w:color w:val="1A1A2E"/>
          <w:sz w:val="28"/>
        </w:rPr>
        <w:t>6. Extent of stakeholder involvement and level of conflicting requirements</w:t>
      </w:r>
    </w:p>
    <w:p>
      <w:pPr>
        <w:spacing w:after="40"/>
        <w:ind w:left="340"/>
      </w:pPr>
      <w:r>
        <w:rPr>
          <w:color w:val="666666"/>
          <w:sz w:val="20"/>
        </w:rPr>
        <w:t>☐  Involves diverse groups of stakeholders with widely varying needs</w:t>
      </w:r>
    </w:p>
    <w:p>
      <w:pPr>
        <w:spacing w:after="40"/>
        <w:ind w:left="340"/>
      </w:pPr>
      <w:r>
        <w:rPr>
          <w:b/>
          <w:color w:val="2F7A2F"/>
          <w:sz w:val="20"/>
        </w:rPr>
        <w:t>☑  Involves several groups of stakeholders with differing and occasionally conflicting needs</w:t>
      </w:r>
    </w:p>
    <w:p>
      <w:pPr>
        <w:spacing w:after="40"/>
        <w:ind w:left="340"/>
      </w:pPr>
      <w:r>
        <w:rPr>
          <w:color w:val="666666"/>
          <w:sz w:val="20"/>
        </w:rPr>
        <w:t>☐  Involves a limited range of stakeholders with differing needs</w:t>
      </w:r>
    </w:p>
    <w:p>
      <w:pPr>
        <w:spacing w:before="160" w:after="80"/>
      </w:pPr>
      <w:r>
        <w:rPr>
          <w:b/>
          <w:color w:val="1E7A8C"/>
          <w:sz w:val="23"/>
        </w:rPr>
        <w:t>Justification</w:t>
      </w:r>
    </w:p>
    <w:p>
      <w:pPr>
        <w:spacing w:after="120"/>
      </w:pPr>
      <w:r>
        <w:rPr>
          <w:b w:val="0"/>
          <w:i w:val="0"/>
          <w:sz w:val="21"/>
        </w:rPr>
        <w:t>Honestly rated at the middle tier, not the top one — this is the one characteristic the project's own CCP review (plan doc §2) marks as “weak” rather than “clear.” Several real stakeholder groups are identified in principle, each with differing needs (on-call engineers/SREs wanting fast, trustworthy diagnosis; benchmark researchers wanting a reproducible, labeled evaluation artifact; QA/compliance teams wanting silent-failure coverage; platform teams wanting low integration cost) — but none of these stakeholder groups have actually been contacted or interviewed yet. Claiming the top tier (“diverse groups... widely varying needs”) without real stakeholder engagement would be an overclaim the rest of this project has deliberately avoided everywhere else. This is the single highest-priority open item before defense (risk-register.md, and item #10 in the guide-compliance checklist).</w:t>
      </w:r>
    </w:p>
    <w:p>
      <w:pPr>
        <w:spacing w:before="80" w:after="80"/>
        <w:pBdr>
          <w:bottom w:val="single" w:sz="4" w:color="CCCCCC"/>
        </w:pBdr>
      </w:pPr>
    </w:p>
    <w:p>
      <w:pPr>
        <w:spacing w:before="360" w:after="120"/>
      </w:pPr>
      <w:r>
        <w:rPr>
          <w:b/>
          <w:color w:val="1A1A2E"/>
          <w:sz w:val="28"/>
        </w:rPr>
        <w:t>7. Consequences</w:t>
      </w:r>
    </w:p>
    <w:p>
      <w:pPr>
        <w:spacing w:after="40"/>
        <w:ind w:left="340"/>
      </w:pPr>
      <w:r>
        <w:rPr>
          <w:b/>
          <w:color w:val="2F7A2F"/>
          <w:sz w:val="20"/>
        </w:rPr>
        <w:t>☑  Has significant consequences in a range of contexts</w:t>
      </w:r>
    </w:p>
    <w:p>
      <w:pPr>
        <w:spacing w:after="40"/>
        <w:ind w:left="340"/>
      </w:pPr>
      <w:r>
        <w:rPr>
          <w:color w:val="666666"/>
          <w:sz w:val="20"/>
        </w:rPr>
        <w:t>☐  Has consequences that are important locally, but may extend to a broader context</w:t>
      </w:r>
    </w:p>
    <w:p>
      <w:pPr>
        <w:spacing w:after="40"/>
        <w:ind w:left="340"/>
      </w:pPr>
      <w:r>
        <w:rPr>
          <w:color w:val="666666"/>
          <w:sz w:val="20"/>
        </w:rPr>
        <w:t>☐  Has consequences that are important locally, and usually are not far-reaching</w:t>
      </w:r>
    </w:p>
    <w:p>
      <w:pPr>
        <w:spacing w:before="160" w:after="80"/>
      </w:pPr>
      <w:r>
        <w:rPr>
          <w:b/>
          <w:color w:val="1E7A8C"/>
          <w:sz w:val="23"/>
        </w:rPr>
        <w:t>Justification</w:t>
      </w:r>
    </w:p>
    <w:p>
      <w:pPr>
        <w:spacing w:after="120"/>
      </w:pPr>
      <w:r>
        <w:rPr>
          <w:b w:val="0"/>
          <w:i w:val="0"/>
          <w:sz w:val="21"/>
        </w:rPr>
        <w:t>A missed silent failure means a multi-agent AI system ships an incorrect answer to a real end user with no visibility that anything went wrong at all — by definition, no error signal fires. The scenarios used throughout this project's own use-case analysis span multiple real domains where this matters: a wrong refund amount in customer support, an unverified budget constraint in a purchase recommendation, a stock-count inconsistency between two agents in the same order pipeline. These are not confined to one narrow context — they recur in any production deployment of multi-agent systems, which is precisely why 7 commercial platforms have independently converged on this as a category worth building tooling for.</w:t>
      </w:r>
    </w:p>
    <w:p>
      <w:pPr>
        <w:spacing w:before="80" w:after="80"/>
        <w:pBdr>
          <w:bottom w:val="single" w:sz="4" w:color="CCCCCC"/>
        </w:pBdr>
      </w:pPr>
    </w:p>
    <w:p>
      <w:pPr>
        <w:spacing w:before="360" w:after="120"/>
      </w:pPr>
      <w:r>
        <w:rPr>
          <w:b/>
          <w:color w:val="1A1A2E"/>
          <w:sz w:val="28"/>
        </w:rPr>
        <w:t>8. Interdependence</w:t>
      </w:r>
    </w:p>
    <w:p>
      <w:pPr>
        <w:spacing w:after="40"/>
        <w:ind w:left="340"/>
      </w:pPr>
      <w:r>
        <w:rPr>
          <w:b/>
          <w:color w:val="2F7A2F"/>
          <w:sz w:val="20"/>
        </w:rPr>
        <w:t>☑  Is a high-level problem possibly including many component parts or sub-problems</w:t>
      </w:r>
    </w:p>
    <w:p>
      <w:pPr>
        <w:spacing w:after="40"/>
        <w:ind w:left="340"/>
      </w:pPr>
      <w:r>
        <w:rPr>
          <w:color w:val="666666"/>
          <w:sz w:val="20"/>
        </w:rPr>
        <w:t>☐  Is part of, or systems within, a complex computing problem</w:t>
      </w:r>
    </w:p>
    <w:p>
      <w:pPr>
        <w:spacing w:after="40"/>
        <w:ind w:left="340"/>
      </w:pPr>
      <w:r>
        <w:rPr>
          <w:color w:val="666666"/>
          <w:sz w:val="20"/>
        </w:rPr>
        <w:t>☐  Is a discrete component of a computing system</w:t>
      </w:r>
    </w:p>
    <w:p>
      <w:pPr>
        <w:spacing w:before="160" w:after="80"/>
      </w:pPr>
      <w:r>
        <w:rPr>
          <w:b/>
          <w:color w:val="1E7A8C"/>
          <w:sz w:val="23"/>
        </w:rPr>
        <w:t>Justification</w:t>
      </w:r>
    </w:p>
    <w:p>
      <w:pPr>
        <w:spacing w:after="120"/>
      </w:pPr>
      <w:r>
        <w:rPr>
          <w:b w:val="0"/>
          <w:i w:val="0"/>
          <w:sz w:val="21"/>
        </w:rPr>
        <w:t>The system itself decomposes into multiple interdependent sub-problems, each substantial enough to be its own line of work: fault injection across frameworks, execution-graph construction, three separate attribution stages (Culprit Agent, Error Step Localization, Verification Agent), silent-failure constraint verification, and counterfactual replay — and the subject matter itself is interdependence: failures in a real multi-agent system propagate through interdependent agent sub-tasks, which is exactly what the Failure Propagation Map and backward causal tracing (Spike 6, proven on a real cyclic graph) are built to model and trace.</w:t>
      </w:r>
    </w:p>
    <w:p>
      <w:pPr>
        <w:spacing w:before="80" w:after="80"/>
        <w:pBdr>
          <w:bottom w:val="single" w:sz="4" w:color="CCCCCC"/>
        </w:pBdr>
      </w:pPr>
    </w:p>
    <w:p>
      <w:pPr>
        <w:spacing w:before="360" w:after="120"/>
      </w:pPr>
      <w:r>
        <w:rPr>
          <w:b/>
          <w:color w:val="1A1A2E"/>
          <w:sz w:val="28"/>
        </w:rPr>
        <w:t>9. Requirement identification</w:t>
      </w:r>
    </w:p>
    <w:p>
      <w:pPr>
        <w:spacing w:after="40"/>
        <w:ind w:left="340"/>
      </w:pPr>
      <w:r>
        <w:rPr>
          <w:b/>
          <w:color w:val="2F7A2F"/>
          <w:sz w:val="20"/>
        </w:rPr>
        <w:t>☑  Identification of a requirement or the cause of a problem is ill defined or unknown</w:t>
      </w:r>
    </w:p>
    <w:p>
      <w:pPr>
        <w:spacing w:after="40"/>
        <w:ind w:left="340"/>
      </w:pPr>
      <w:r>
        <w:rPr>
          <w:color w:val="666666"/>
          <w:sz w:val="20"/>
        </w:rPr>
        <w:t>☐  Identification of a requirement or the cause of a problem is possible from a set of known options</w:t>
      </w:r>
    </w:p>
    <w:p>
      <w:pPr>
        <w:spacing w:after="40"/>
        <w:ind w:left="340"/>
      </w:pPr>
      <w:r>
        <w:rPr>
          <w:color w:val="666666"/>
          <w:sz w:val="20"/>
        </w:rPr>
        <w:t>☐  A requirement or the cause of a problem can be determined by well-established ways</w:t>
      </w:r>
    </w:p>
    <w:p>
      <w:pPr>
        <w:spacing w:before="160" w:after="80"/>
      </w:pPr>
      <w:r>
        <w:rPr>
          <w:b/>
          <w:color w:val="1E7A8C"/>
          <w:sz w:val="23"/>
        </w:rPr>
        <w:t>Justification</w:t>
      </w:r>
    </w:p>
    <w:p>
      <w:pPr>
        <w:spacing w:after="120"/>
      </w:pPr>
      <w:r>
        <w:rPr>
          <w:b w:val="0"/>
          <w:i w:val="0"/>
          <w:sz w:val="21"/>
        </w:rPr>
        <w:t>This is the literal definition of the core problem Granite solves: at the moment a multi-agent system produces a wrong result, the responsible agent, the responsible step, and the reason are all unknown and must be actively investigated — there is no well-established way to determine this, which is exactly why the field's best published method (ErrorProbe) only reaches 59.5% accuracy at identifying it. The entire 3-stage attribution pipeline (hypothesis generation, evidence-grounded verification, arbitration) exists because the cause is not knowable from a fixed set of known options — it has to be inferred and then verified against real trajectory evidence.</w:t>
      </w:r>
    </w:p>
    <w:p>
      <w:pPr>
        <w:spacing w:before="80" w:after="80"/>
        <w:pBdr>
          <w:bottom w:val="single" w:sz="4" w:color="CCCCCC"/>
        </w:pBdr>
      </w:pPr>
    </w:p>
    <w:p>
      <w:r>
        <w:br w:type="page"/>
      </w:r>
    </w:p>
    <w:p>
      <w:pPr>
        <w:spacing w:before="360" w:after="120"/>
      </w:pPr>
      <w:r>
        <w:rPr>
          <w:b/>
          <w:color w:val="1A1A2E"/>
          <w:sz w:val="28"/>
        </w:rPr>
        <w:t>Justify your selection — overall</w:t>
      </w:r>
    </w:p>
    <w:p>
      <w:pPr>
        <w:spacing w:after="120"/>
      </w:pPr>
      <w:r>
        <w:rPr>
          <w:b w:val="0"/>
          <w:i w:val="0"/>
          <w:sz w:val="21"/>
        </w:rPr>
        <w:t>Granite clears the top (“Complex”) tier on 8 of the 9 D.4.1 characteristics, with the 9th (stakeholder involvement) honestly held at the middle tier pending real stakeholder contact — not inflated to match the others. This is not a claim made from first principles alone: it is supported by 7 independently-run and reproduced proof-of-concept spikes (fault injection, execution-graph construction, silent-failure detection, counterfactual replay, cyclic-graph handling, ErrorProbe reproduction, and a preventive classifier — the last one an honest negative result, reported rather than hidden), a full-text review of 9+ papers spanning the field's entire published history on this exact problem (Who&amp;When, AgenTracer, SDBL, TraceElephant, ErrorProbe, AgentAsk, PROTEA, plus a further literature triage), and a direct check of all 7 major commercial observability platforms in this space. The central evidence for the CCP claim is simple and verifiable: after roughly 15 months of active, published research effort by multiple independent teams, the strongest reported step-level attribution accuracy is still only 59.5%, no commercial platform documents general silent-failure detection or counterfactual fix-verification as a standardized capability, and no prior method has been evaluated on more than one multi-agent architecture. If this were a well-defined or even broadly-defined computing problem, at least one of those three facts would not be true.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