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8E6A1F"/>
          <w:sz w:val="18"/>
          <w:szCs w:val="18"/>
        </w:rPr>
        <w:t xml:space="preserve">F26-060-GRANITE   ·   DECISION MEMO</w:t>
      </w:r>
    </w:p>
    <w:p>
      <w:pPr>
        <w:spacing w:after="100"/>
      </w:pPr>
      <w:r>
        <w:rPr>
          <w:rFonts w:ascii="Georgia" w:cs="Georgia" w:eastAsia="Georgia" w:hAnsi="Georgia"/>
          <w:b/>
          <w:bCs/>
          <w:color w:val="1B202A"/>
          <w:sz w:val="44"/>
          <w:szCs w:val="44"/>
        </w:rPr>
        <w:t xml:space="preserve">Stream A or Stream B?</w:t>
      </w:r>
    </w:p>
    <w:p>
      <w:pPr>
        <w:spacing w:after="60"/>
      </w:pPr>
      <w:r>
        <w:rPr>
          <w:rFonts w:ascii="Georgia" w:cs="Georgia" w:eastAsia="Georgia" w:hAnsi="Georgia"/>
          <w:i/>
          <w:iCs/>
          <w:color w:val="596273"/>
          <w:sz w:val="22"/>
          <w:szCs w:val="22"/>
        </w:rPr>
        <w:t xml:space="preserve">A handbook-grounded answer to the supervisor’s challenge, and what it means for datasets</w:t>
      </w:r>
    </w:p>
    <w:p>
      <w:pPr>
        <w:pBdr>
          <w:bottom w:val="single" w:color="C89B3C" w:sz="10" w:space="8"/>
        </w:pBdr>
        <w:spacing w:after="300"/>
      </w:pPr>
      <w:r>
        <w:rPr>
          <w:rFonts w:ascii="Calibri" w:cs="Calibri" w:eastAsia="Calibri" w:hAnsi="Calibri"/>
          <w:color w:val="596273"/>
          <w:sz w:val="18"/>
          <w:szCs w:val="18"/>
        </w:rPr>
        <w:t xml:space="preserve">Prepared 7 September 2026  ·  Granite — A Self-Healing Multi-Agent System for Semantic Error Diagnosis, Verified Repair and Recovery  ·  Supervisor: Dr. Adil Majeed  ·  FAST School of Computing, NUCES Islamabad</w:t>
      </w:r>
    </w:p>
    <w:p>
      <w:pPr>
        <w:spacing w:after="110" w:before="260"/>
      </w:pPr>
      <w:r>
        <w:rPr>
          <w:rFonts w:ascii="Georgia" w:cs="Georgia" w:eastAsia="Georgia" w:hAnsi="Georgia"/>
          <w:b/>
          <w:bCs/>
          <w:color w:val="1B202A"/>
          <w:sz w:val="24"/>
          <w:szCs w:val="24"/>
        </w:rPr>
        <w:t xml:space="preserve">Context</w:t>
      </w:r>
    </w:p>
    <w:p>
      <w:pPr>
        <w:spacing w:after="140" w:line="288"/>
      </w:pPr>
      <w:r>
        <w:rPr>
          <w:rFonts w:ascii="Calibri" w:cs="Calibri" w:eastAsia="Calibri" w:hAnsi="Calibri"/>
          <w:color w:val="1B202A"/>
          <w:sz w:val="21"/>
          <w:szCs w:val="21"/>
        </w:rPr>
        <w:t xml:space="preserve">In a supervisor meeting on 7 September 2026, the team was advised that if Granite is not going to reproduce ErrorProbe, and is instead focused mainly on developing product features, then Stream A may be the wrong declaration — because a Stream A panel will press hard on which paper was chosen and what was done with it.</w:t>
      </w:r>
    </w:p>
    <w:p>
      <w:pPr>
        <w:spacing w:after="140" w:line="288"/>
      </w:pPr>
      <w:r>
        <w:rPr>
          <w:rFonts w:ascii="Calibri" w:cs="Calibri" w:eastAsia="Calibri" w:hAnsi="Calibri"/>
          <w:color w:val="1B202A"/>
          <w:sz w:val="21"/>
          <w:szCs w:val="21"/>
        </w:rPr>
        <w:t xml:space="preserve">The alternative the team considered was Stream B: present the market research already completed (seven orchestration frameworks and several commercial observability products, each missing features the others have) and build a single product that combines them.</w:t>
      </w:r>
    </w:p>
    <w:p>
      <w:pPr>
        <w:spacing w:after="140" w:line="288"/>
      </w:pPr>
      <w:r>
        <w:rPr>
          <w:rFonts w:ascii="Calibri" w:cs="Calibri" w:eastAsia="Calibri" w:hAnsi="Calibri"/>
          <w:color w:val="1B202A"/>
          <w:sz w:val="21"/>
          <w:szCs w:val="21"/>
        </w:rPr>
        <w:t xml:space="preserve">This memo answers that question against the FAST BS-FYP Handbook 2026 (Appendix C), and then answers the follow-up question about whether Stream B removes the need for datasets.</w:t>
      </w:r>
    </w:p>
    <w:p>
      <w:pPr>
        <w:pBdr>
          <w:bottom w:val="single" w:color="C89B3C" w:sz="10" w:space="6"/>
        </w:pBdr>
        <w:spacing w:after="160" w:before="340"/>
      </w:pPr>
      <w:r>
        <w:rPr>
          <w:rFonts w:ascii="Georgia" w:cs="Georgia" w:eastAsia="Georgia" w:hAnsi="Georgia"/>
          <w:b/>
          <w:bCs/>
          <w:color w:val="1B202A"/>
          <w:sz w:val="30"/>
          <w:szCs w:val="30"/>
        </w:rPr>
        <w:t xml:space="preserve">1.  What stream we are on now</w:t>
      </w:r>
    </w:p>
    <w:p>
      <w:pPr>
        <w:spacing w:after="140" w:line="288"/>
      </w:pPr>
      <w:r>
        <w:rPr>
          <w:rFonts w:ascii="Calibri" w:cs="Calibri" w:eastAsia="Calibri" w:hAnsi="Calibri"/>
          <w:color w:val="1B202A"/>
          <w:sz w:val="21"/>
          <w:szCs w:val="21"/>
        </w:rPr>
        <w:t xml:space="preserve">Stream A — research-derived. It is declared consistently across the scope and CCP plan, the one-page idea form, the registration form answers, all three slide decks, and the executive audit. The audit file already records it as “Stream A correctly declared, defended against recorded pushback,” so this challenge has been raised and answered once before.</w:t>
      </w:r>
    </w:p>
    <w:p>
      <w:pPr>
        <w:pBdr>
          <w:bottom w:val="single" w:color="C89B3C" w:sz="10" w:space="6"/>
        </w:pBdr>
        <w:spacing w:after="160" w:before="340"/>
      </w:pPr>
      <w:r>
        <w:rPr>
          <w:rFonts w:ascii="Georgia" w:cs="Georgia" w:eastAsia="Georgia" w:hAnsi="Georgia"/>
          <w:b/>
          <w:bCs/>
          <w:color w:val="1B202A"/>
          <w:sz w:val="30"/>
          <w:szCs w:val="30"/>
        </w:rPr>
        <w:t xml:space="preserve">2.  The handbook defines “stream” far more narrowly than the meeting assumed</w:t>
      </w:r>
    </w:p>
    <w:p>
      <w:pPr>
        <w:spacing w:after="140" w:line="288"/>
      </w:pPr>
      <w:r>
        <w:rPr>
          <w:rFonts w:ascii="Calibri" w:cs="Calibri" w:eastAsia="Calibri" w:hAnsi="Calibri"/>
          <w:color w:val="1B202A"/>
          <w:sz w:val="21"/>
          <w:szCs w:val="21"/>
        </w:rPr>
        <w:t xml:space="preserve">This is the point that appears to have been lost in discussion. Handbook C.1.1 states:</w:t>
      </w:r>
    </w:p>
    <w:p>
      <w:pPr>
        <w:pBdr>
          <w:left w:val="single" w:color="C89B3C" w:sz="18" w:space="14"/>
        </w:pBdr>
        <w:spacing w:after="160" w:before="120" w:line="288"/>
        <w:ind w:left="460"/>
      </w:pPr>
      <w:r>
        <w:rPr>
          <w:rFonts w:ascii="Georgia" w:cs="Georgia" w:eastAsia="Georgia" w:hAnsi="Georgia"/>
          <w:i/>
          <w:iCs/>
          <w:color w:val="3A4150"/>
          <w:sz w:val="21"/>
          <w:szCs w:val="21"/>
        </w:rPr>
        <w:t xml:space="preserve">“The stream describes where the idea came from and not how difficult it is, not how prestigious it is, and not how it will be graded.”</w:t>
      </w:r>
    </w:p>
    <w:p>
      <w:pPr>
        <w:pBdr>
          <w:left w:val="single" w:color="C89B3C" w:sz="18" w:space="14"/>
        </w:pBdr>
        <w:spacing w:after="160" w:before="120" w:line="288"/>
        <w:ind w:left="460"/>
      </w:pPr>
      <w:r>
        <w:rPr>
          <w:rFonts w:ascii="Georgia" w:cs="Georgia" w:eastAsia="Georgia" w:hAnsi="Georgia"/>
          <w:i/>
          <w:iCs/>
          <w:color w:val="3A4150"/>
          <w:sz w:val="21"/>
          <w:szCs w:val="21"/>
        </w:rPr>
        <w:t xml:space="preserve">“The stream determines which risk you test first, not what you must deliver.”</w:t>
      </w:r>
    </w:p>
    <w:p>
      <w:pPr>
        <w:spacing w:after="140" w:line="288"/>
      </w:pPr>
      <w:r>
        <w:rPr>
          <w:rFonts w:ascii="Calibri" w:cs="Calibri" w:eastAsia="Calibri" w:hAnsi="Calibri"/>
          <w:color w:val="1B202A"/>
          <w:sz w:val="21"/>
          <w:szCs w:val="21"/>
        </w:rPr>
        <w:t xml:space="preserve">And the box beneath the stream comparison table is explicit that both streams carry the same obligations:</w:t>
      </w:r>
    </w:p>
    <w:p>
      <w:pPr>
        <w:pBdr>
          <w:left w:val="single" w:color="C89B3C" w:sz="18" w:space="14"/>
        </w:pBdr>
        <w:spacing w:after="160" w:before="120" w:line="288"/>
        <w:ind w:left="460"/>
      </w:pPr>
      <w:r>
        <w:rPr>
          <w:rFonts w:ascii="Georgia" w:cs="Georgia" w:eastAsia="Georgia" w:hAnsi="Georgia"/>
          <w:i/>
          <w:iCs/>
          <w:color w:val="3A4150"/>
          <w:sz w:val="21"/>
          <w:szCs w:val="21"/>
        </w:rPr>
        <w:t xml:space="preserve">“A Stream A project that produces excellent results, but no operable system has not met the standard. A Stream B project that produces a polished application with no research basis, no defensible complex computing problem and no evaluation beyond a demonstration has not met the standard either.”</w:t>
      </w:r>
    </w:p>
    <w:p>
      <w:pPr>
        <w:spacing w:after="140" w:line="288"/>
      </w:pPr>
      <w:r>
        <w:rPr>
          <w:rFonts w:ascii="Calibri" w:cs="Calibri" w:eastAsia="Calibri" w:hAnsi="Calibri"/>
          <w:b/>
          <w:bCs/>
          <w:color w:val="1B202A"/>
          <w:sz w:val="21"/>
          <w:szCs w:val="21"/>
        </w:rPr>
        <w:t xml:space="preserve">Conclusion: </w:t>
      </w:r>
      <w:r>
        <w:rPr>
          <w:rFonts w:ascii="Calibri" w:cs="Calibri" w:eastAsia="Calibri" w:hAnsi="Calibri"/>
          <w:color w:val="1B202A"/>
          <w:sz w:val="21"/>
          <w:szCs w:val="21"/>
        </w:rPr>
        <w:t xml:space="preserve">switching streams does not reduce the workload, the evaluation burden, or the CCP obligation. It changes which questions the panel asks first. That is all it changes.</w:t>
      </w:r>
    </w:p>
    <w:p>
      <w:pPr>
        <w:spacing w:after="110" w:before="260"/>
      </w:pPr>
      <w:r>
        <w:rPr>
          <w:rFonts w:ascii="Georgia" w:cs="Georgia" w:eastAsia="Georgia" w:hAnsi="Georgia"/>
          <w:b/>
          <w:bCs/>
          <w:color w:val="1B202A"/>
          <w:sz w:val="24"/>
          <w:szCs w:val="24"/>
        </w:rPr>
        <w:t xml:space="preserve">What each stream’s panel actually presses on (C.1.1 table)</w:t>
      </w:r>
    </w:p>
    <w:tbl>
      <w:tblPr>
        <w:tblW w:type="pct" w:w="100%"/>
        <w:tblBorders>
          <w:top w:val="single" w:color="D9DCE3" w:sz="4"/>
          <w:left w:val="single" w:color="D9DCE3" w:sz="4"/>
          <w:bottom w:val="single" w:color="D9DCE3" w:sz="4"/>
          <w:right w:val="single" w:color="D9DCE3" w:sz="4"/>
          <w:insideH w:val="single" w:color="D9DCE3" w:sz="4"/>
          <w:insideV w:val="single" w:color="D9DCE3" w:sz="4"/>
        </w:tblBorders>
      </w:tblPr>
      <w:tblGrid>
        <w:gridCol w:w="100"/>
        <w:gridCol w:w="100"/>
        <w:gridCol w:w="100"/>
      </w:tblGrid>
      <w:tr>
        <w:tc>
          <w:tcPr>
            <w:tcW w:type="pct" w:w="22%"/>
            <w:shd w:fill="1E242F"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Aspect</w:t>
            </w:r>
          </w:p>
        </w:tc>
        <w:tc>
          <w:tcPr>
            <w:tcW w:type="pct" w:w="39%"/>
            <w:shd w:fill="1E242F"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Stream A — research-derived</w:t>
            </w:r>
          </w:p>
        </w:tc>
        <w:tc>
          <w:tcPr>
            <w:tcW w:type="pct" w:w="39%"/>
            <w:shd w:fill="1E242F"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Stream B — application-derived</w:t>
            </w:r>
          </w:p>
        </w:tc>
      </w:tr>
      <w:tr>
        <w:tc>
          <w:tcPr>
            <w:tcW w:type="pct" w:w="22%"/>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Starting point</w:t>
            </w:r>
          </w:p>
        </w:tc>
        <w:tc>
          <w:tcPr>
            <w:tcW w:type="pct" w:w="39%"/>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One or more peer-reviewed papers, a published method, a benchmark or an open problem stated in the literature.</w:t>
            </w:r>
          </w:p>
        </w:tc>
        <w:tc>
          <w:tcPr>
            <w:tcW w:type="pct" w:w="39%"/>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An observed workflow failure, an unmet stakeholder need, or an everyday task that is currently handled manually or badly.</w:t>
            </w:r>
          </w:p>
        </w:tc>
      </w:tr>
      <w:tr>
        <w:tc>
          <w:tcPr>
            <w:tcW w:type="pct" w:w="22%"/>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Typical contribution</w:t>
            </w:r>
          </w:p>
        </w:tc>
        <w:tc>
          <w:tcPr>
            <w:tcW w:type="pct" w:w="39%"/>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Transparent reproduction, adaptation to a new context or constraint, comparison of methods, failure analysis, or engineering a published method into an operable system.</w:t>
            </w:r>
          </w:p>
        </w:tc>
        <w:tc>
          <w:tcPr>
            <w:tcW w:type="pct" w:w="39%"/>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Problem or requirement formulation, system and architecture design under real constraints, workflow or accessibility improvement, or a curated domain resource.</w:t>
            </w:r>
          </w:p>
        </w:tc>
      </w:tr>
      <w:tr>
        <w:tc>
          <w:tcPr>
            <w:tcW w:type="pct" w:w="22%"/>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Most common failure</w:t>
            </w:r>
          </w:p>
        </w:tc>
        <w:tc>
          <w:tcPr>
            <w:tcW w:type="pct" w:w="39%"/>
            <w:shd w:fill="F6E6E3" w:color="auto" w:val="clear"/>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Re-running someone else’s code without understanding it, and finishing with results but no system that anyone could operate.</w:t>
            </w:r>
          </w:p>
        </w:tc>
        <w:tc>
          <w:tcPr>
            <w:tcW w:type="pct" w:w="39%"/>
            <w:shd w:fill="F6E6E3" w:color="auto" w:val="clear"/>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Building a competent application around a problem that never required computing depth, and discovering at defense that no CCP can be identified.</w:t>
            </w:r>
          </w:p>
        </w:tc>
      </w:tr>
      <w:tr>
        <w:tc>
          <w:tcPr>
            <w:tcW w:type="pct" w:w="22%"/>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What the panel presses on</w:t>
            </w:r>
          </w:p>
        </w:tc>
        <w:tc>
          <w:tcPr>
            <w:tcW w:type="pct" w:w="39%"/>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Can you explain, modify and defend the method without the code in front of you? What is your delta over the paper? Does it become a real system?</w:t>
            </w:r>
          </w:p>
        </w:tc>
        <w:tc>
          <w:tcPr>
            <w:tcW w:type="pct" w:w="39%"/>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Where exactly is the complexity? What would a routine implementation have got wrong? What evidence shows this problem is real?</w:t>
            </w:r>
          </w:p>
        </w:tc>
      </w:tr>
    </w:tbl>
    <w:p>
      <w:pPr>
        <w:spacing w:after="160"/>
      </w:pPr>
    </w:p>
    <w:p>
      <w:pPr>
        <w:pBdr>
          <w:bottom w:val="single" w:color="C89B3C" w:sz="10" w:space="6"/>
        </w:pBdr>
        <w:spacing w:after="160" w:before="340"/>
      </w:pPr>
      <w:r>
        <w:rPr>
          <w:rFonts w:ascii="Georgia" w:cs="Georgia" w:eastAsia="Georgia" w:hAnsi="Georgia"/>
          <w:b/>
          <w:bCs/>
          <w:color w:val="1B202A"/>
          <w:sz w:val="30"/>
          <w:szCs w:val="30"/>
        </w:rPr>
        <w:t xml:space="preserve">3.  The supervisor’s concern is valid — but it is conditional</w:t>
      </w:r>
    </w:p>
    <w:p>
      <w:pPr>
        <w:spacing w:after="140" w:line="288"/>
      </w:pPr>
      <w:r>
        <w:rPr>
          <w:rFonts w:ascii="Calibri" w:cs="Calibri" w:eastAsia="Calibri" w:hAnsi="Calibri"/>
          <w:color w:val="1B202A"/>
          <w:sz w:val="21"/>
          <w:szCs w:val="21"/>
        </w:rPr>
        <w:t xml:space="preserve">The advice was: if we are not going to reproduce ErrorProbe, we should not pick Stream A. That conditional is correct, because Stream A’s defining panel question is “what is your delta over the paper?” Without a reproduction there is no measured baseline, so there is no delta to state.</w:t>
      </w:r>
    </w:p>
    <w:p>
      <w:pPr>
        <w:spacing w:after="140" w:line="288"/>
      </w:pPr>
      <w:r>
        <w:rPr>
          <w:rFonts w:ascii="Calibri" w:cs="Calibri" w:eastAsia="Calibri" w:hAnsi="Calibri"/>
          <w:b/>
          <w:bCs/>
          <w:color w:val="1B202A"/>
          <w:sz w:val="21"/>
          <w:szCs w:val="21"/>
        </w:rPr>
        <w:t xml:space="preserve">Our plan, however, already commits to the reproduction:</w:t>
      </w:r>
    </w:p>
    <w:p>
      <w:pPr>
        <w:pStyle w:val="ListParagraph"/>
        <w:numPr>
          <w:ilvl w:val="0"/>
          <w:numId w:val="1"/>
        </w:numPr>
        <w:spacing w:after="90" w:line="288"/>
      </w:pPr>
      <w:r>
        <w:rPr>
          <w:rFonts w:ascii="Calibri" w:cs="Calibri" w:eastAsia="Calibri" w:hAnsi="Calibri"/>
          <w:color w:val="1B202A"/>
          <w:sz w:val="21"/>
          <w:szCs w:val="21"/>
        </w:rPr>
        <w:t xml:space="preserve">The full three-stage ErrorProbe reproduction is recorded as the top FYP-1 priority.</w:t>
      </w:r>
    </w:p>
    <w:p>
      <w:pPr>
        <w:pStyle w:val="ListParagraph"/>
        <w:numPr>
          <w:ilvl w:val="0"/>
          <w:numId w:val="1"/>
        </w:numPr>
        <w:spacing w:after="90" w:line="288"/>
      </w:pPr>
      <w:r>
        <w:rPr>
          <w:rFonts w:ascii="Calibri" w:cs="Calibri" w:eastAsia="Calibri" w:hAnsi="Calibri"/>
          <w:color w:val="1B202A"/>
          <w:sz w:val="21"/>
          <w:szCs w:val="21"/>
        </w:rPr>
        <w:t xml:space="preserve">Spike 1 has already run a simplified reproduction producing real numbers over five live runs: </w:t>
      </w:r>
      <w:r>
        <w:rPr>
          <w:rFonts w:ascii="Calibri" w:cs="Calibri" w:eastAsia="Calibri" w:hAnsi="Calibri"/>
          <w:b/>
          <w:bCs/>
          <w:color w:val="1B202A"/>
          <w:sz w:val="21"/>
          <w:szCs w:val="21"/>
        </w:rPr>
        <w:t xml:space="preserve">agent accuracy 62.5–85.7% (mean 71.4%), step accuracy 0–25% (mean 13.2%)</w:t>
      </w:r>
      <w:r>
        <w:rPr>
          <w:rFonts w:ascii="Calibri" w:cs="Calibri" w:eastAsia="Calibri" w:hAnsi="Calibri"/>
          <w:color w:val="1B202A"/>
          <w:sz w:val="21"/>
          <w:szCs w:val="21"/>
        </w:rPr>
        <w:t xml:space="preserve"> — reported as a range, not a point estimate.</w:t>
      </w:r>
    </w:p>
    <w:p>
      <w:pPr>
        <w:pStyle w:val="ListParagraph"/>
        <w:numPr>
          <w:ilvl w:val="0"/>
          <w:numId w:val="1"/>
        </w:numPr>
        <w:spacing w:after="90" w:line="288"/>
      </w:pPr>
      <w:r>
        <w:rPr>
          <w:rFonts w:ascii="Calibri" w:cs="Calibri" w:eastAsia="Calibri" w:hAnsi="Calibri"/>
          <w:color w:val="1B202A"/>
          <w:sz w:val="21"/>
          <w:szCs w:val="21"/>
        </w:rPr>
        <w:t xml:space="preserve">The acceptance band is pre-registered at </w:t>
      </w:r>
      <w:r>
        <w:rPr>
          <w:rFonts w:ascii="Calibri" w:cs="Calibri" w:eastAsia="Calibri" w:hAnsi="Calibri"/>
          <w:b/>
          <w:bCs/>
          <w:color w:val="1B202A"/>
          <w:sz w:val="21"/>
          <w:szCs w:val="21"/>
        </w:rPr>
        <w:t xml:space="preserve">±10 points of ErrorProbe’s published 59.5%</w:t>
      </w:r>
      <w:r>
        <w:rPr>
          <w:rFonts w:ascii="Calibri" w:cs="Calibri" w:eastAsia="Calibri" w:hAnsi="Calibri"/>
          <w:color w:val="1B202A"/>
          <w:sz w:val="21"/>
          <w:szCs w:val="21"/>
        </w:rPr>
        <w:t xml:space="preserve">, declared before the run rather than after it.</w:t>
      </w:r>
    </w:p>
    <w:p>
      <w:pPr>
        <w:spacing w:after="140" w:line="288"/>
      </w:pPr>
      <w:r>
        <w:rPr>
          <w:rFonts w:ascii="Calibri" w:cs="Calibri" w:eastAsia="Calibri" w:hAnsi="Calibri"/>
          <w:color w:val="1B202A"/>
          <w:sz w:val="21"/>
          <w:szCs w:val="21"/>
        </w:rPr>
        <w:t xml:space="preserve">The premise the advice rested on therefore appears to be inaccurate, or was not communicated clearly in the meeting. </w:t>
      </w:r>
      <w:r>
        <w:rPr>
          <w:rFonts w:ascii="Calibri" w:cs="Calibri" w:eastAsia="Calibri" w:hAnsi="Calibri"/>
          <w:b/>
          <w:bCs/>
          <w:color w:val="1B202A"/>
          <w:sz w:val="21"/>
          <w:szCs w:val="21"/>
        </w:rPr>
        <w:t xml:space="preserve">That is the thing to correct — not the stream declaration.</w:t>
      </w:r>
    </w:p>
    <w:p>
      <w:pPr>
        <w:pBdr>
          <w:bottom w:val="single" w:color="C89B3C" w:sz="10" w:space="6"/>
        </w:pBdr>
        <w:spacing w:after="160" w:before="340"/>
      </w:pPr>
      <w:r>
        <w:rPr>
          <w:rFonts w:ascii="Georgia" w:cs="Georgia" w:eastAsia="Georgia" w:hAnsi="Georgia"/>
          <w:b/>
          <w:bCs/>
          <w:color w:val="1B202A"/>
          <w:sz w:val="30"/>
          <w:szCs w:val="30"/>
        </w:rPr>
        <w:t xml:space="preserve">4.  The “all-in-one product” pitch is the riskier path, not the safer one</w:t>
      </w:r>
    </w:p>
    <w:p>
      <w:pPr>
        <w:spacing w:after="140" w:line="288"/>
      </w:pPr>
      <w:r>
        <w:rPr>
          <w:rFonts w:ascii="Calibri" w:cs="Calibri" w:eastAsia="Calibri" w:hAnsi="Calibri"/>
          <w:color w:val="1B202A"/>
          <w:sz w:val="21"/>
          <w:szCs w:val="21"/>
        </w:rPr>
        <w:t xml:space="preserve">Two findings in the handbook bear directly on the proposed Stream B framing.</w:t>
      </w:r>
    </w:p>
    <w:p>
      <w:pPr>
        <w:spacing w:after="110" w:before="260"/>
      </w:pPr>
      <w:r>
        <w:rPr>
          <w:rFonts w:ascii="Georgia" w:cs="Georgia" w:eastAsia="Georgia" w:hAnsi="Georgia"/>
          <w:b/>
          <w:bCs/>
          <w:color w:val="1B202A"/>
          <w:sz w:val="24"/>
          <w:szCs w:val="24"/>
        </w:rPr>
        <w:t xml:space="preserve">a.  The handbook names this exact claim as weak</w:t>
      </w:r>
    </w:p>
    <w:p>
      <w:pPr>
        <w:spacing w:after="140" w:line="288"/>
      </w:pPr>
      <w:r>
        <w:rPr>
          <w:rFonts w:ascii="Calibri" w:cs="Calibri" w:eastAsia="Calibri" w:hAnsi="Calibri"/>
          <w:color w:val="1B202A"/>
          <w:sz w:val="21"/>
          <w:szCs w:val="21"/>
        </w:rPr>
        <w:t xml:space="preserve">C.4’s contribution-statement guidance:</w:t>
      </w:r>
    </w:p>
    <w:p>
      <w:pPr>
        <w:pBdr>
          <w:left w:val="single" w:color="C89B3C" w:sz="18" w:space="14"/>
        </w:pBdr>
        <w:spacing w:after="160" w:before="120" w:line="288"/>
        <w:ind w:left="460"/>
      </w:pPr>
      <w:r>
        <w:rPr>
          <w:rFonts w:ascii="Georgia" w:cs="Georgia" w:eastAsia="Georgia" w:hAnsi="Georgia"/>
          <w:i/>
          <w:iCs/>
          <w:color w:val="3A4150"/>
          <w:sz w:val="21"/>
          <w:szCs w:val="21"/>
        </w:rPr>
        <w:t xml:space="preserve">“Avoid claims such as ‘we will use AI’, ‘we will add RAG’, ‘we will make it local’, ‘we will improve the UI’, or ‘we will combine many features’ unless the technical contribution and evaluation are clearly explained.”</w:t>
      </w:r>
    </w:p>
    <w:p>
      <w:pPr>
        <w:spacing w:after="110" w:before="260"/>
      </w:pPr>
      <w:r>
        <w:rPr>
          <w:rFonts w:ascii="Georgia" w:cs="Georgia" w:eastAsia="Georgia" w:hAnsi="Georgia"/>
          <w:b/>
          <w:bCs/>
          <w:color w:val="1B202A"/>
          <w:sz w:val="24"/>
          <w:szCs w:val="24"/>
        </w:rPr>
        <w:t xml:space="preserve">b.  It is also Stream B’s single most common failure</w:t>
      </w:r>
    </w:p>
    <w:p>
      <w:pPr>
        <w:pBdr>
          <w:left w:val="single" w:color="C89B3C" w:sz="18" w:space="14"/>
        </w:pBdr>
        <w:spacing w:after="160" w:before="120" w:line="288"/>
        <w:ind w:left="460"/>
      </w:pPr>
      <w:r>
        <w:rPr>
          <w:rFonts w:ascii="Georgia" w:cs="Georgia" w:eastAsia="Georgia" w:hAnsi="Georgia"/>
          <w:i/>
          <w:iCs/>
          <w:color w:val="3A4150"/>
          <w:sz w:val="21"/>
          <w:szCs w:val="21"/>
        </w:rPr>
        <w:t xml:space="preserve">“Building a competent application around a problem that never required computing depth, and discovering at defense that no CCP can be identified.”</w:t>
      </w:r>
    </w:p>
    <w:p>
      <w:pPr>
        <w:spacing w:after="140" w:line="288"/>
      </w:pPr>
      <w:r>
        <w:rPr>
          <w:rFonts w:ascii="Calibri" w:cs="Calibri" w:eastAsia="Calibri" w:hAnsi="Calibri"/>
          <w:color w:val="1B202A"/>
          <w:sz w:val="21"/>
          <w:szCs w:val="21"/>
        </w:rPr>
        <w:t xml:space="preserve">“Seven frameworks each miss features the others have, so we will build all of them in one product” is a </w:t>
      </w:r>
      <w:r>
        <w:rPr>
          <w:rFonts w:ascii="Calibri" w:cs="Calibri" w:eastAsia="Calibri" w:hAnsi="Calibri"/>
          <w:b/>
          <w:bCs/>
          <w:color w:val="1B202A"/>
          <w:sz w:val="21"/>
          <w:szCs w:val="21"/>
        </w:rPr>
        <w:t xml:space="preserve">feature-union argument, not a complexity argument</w:t>
      </w:r>
      <w:r>
        <w:rPr>
          <w:rFonts w:ascii="Calibri" w:cs="Calibri" w:eastAsia="Calibri" w:hAnsi="Calibri"/>
          <w:color w:val="1B202A"/>
          <w:sz w:val="21"/>
          <w:szCs w:val="21"/>
        </w:rPr>
        <w:t xml:space="preserve">. Under Stream B the panel opens with “where exactly is the complexity?”, and our CCP would have to be re-derived from scratch — days before the defense.</w:t>
      </w:r>
    </w:p>
    <w:p>
      <w:pPr>
        <w:pBdr>
          <w:bottom w:val="single" w:color="C89B3C" w:sz="10" w:space="6"/>
        </w:pBdr>
        <w:spacing w:after="160" w:before="340"/>
      </w:pPr>
      <w:r>
        <w:rPr>
          <w:rFonts w:ascii="Georgia" w:cs="Georgia" w:eastAsia="Georgia" w:hAnsi="Georgia"/>
          <w:b/>
          <w:bCs/>
          <w:color w:val="1B202A"/>
          <w:sz w:val="30"/>
          <w:szCs w:val="30"/>
        </w:rPr>
        <w:t xml:space="preserve">5.  Recommendation: remain Stream A</w:t>
      </w:r>
    </w:p>
    <w:p>
      <w:pPr>
        <w:pStyle w:val="ListParagraph"/>
        <w:numPr>
          <w:ilvl w:val="0"/>
          <w:numId w:val="1"/>
        </w:numPr>
        <w:spacing w:after="90" w:line="288"/>
      </w:pPr>
      <w:r>
        <w:rPr>
          <w:rFonts w:ascii="Calibri" w:cs="Calibri" w:eastAsia="Calibri" w:hAnsi="Calibri"/>
          <w:b/>
          <w:bCs/>
          <w:color w:val="1B202A"/>
          <w:sz w:val="21"/>
          <w:szCs w:val="21"/>
        </w:rPr>
        <w:t xml:space="preserve">It is factually where the idea came from.</w:t>
      </w:r>
      <w:r>
        <w:rPr>
          <w:rFonts w:ascii="Calibri" w:cs="Calibri" w:eastAsia="Calibri" w:hAnsi="Calibri"/>
          <w:color w:val="1B202A"/>
          <w:sz w:val="21"/>
          <w:szCs w:val="21"/>
        </w:rPr>
        <w:t xml:space="preserve"> ErrorProbe, AgenTracer and Who&amp;When. The stream records origin; declaring Stream B would misstate our own, and the panel can read our literature analysis.</w:t>
      </w:r>
    </w:p>
    <w:p>
      <w:pPr>
        <w:pStyle w:val="ListParagraph"/>
        <w:numPr>
          <w:ilvl w:val="0"/>
          <w:numId w:val="1"/>
        </w:numPr>
        <w:spacing w:after="90" w:line="288"/>
      </w:pPr>
      <w:r>
        <w:rPr>
          <w:rFonts w:ascii="Calibri" w:cs="Calibri" w:eastAsia="Calibri" w:hAnsi="Calibri"/>
          <w:b/>
          <w:bCs/>
          <w:color w:val="1B202A"/>
          <w:sz w:val="21"/>
          <w:szCs w:val="21"/>
        </w:rPr>
        <w:t xml:space="preserve">Our entire evidence base is Stream A-shaped.</w:t>
      </w:r>
      <w:r>
        <w:rPr>
          <w:rFonts w:ascii="Calibri" w:cs="Calibri" w:eastAsia="Calibri" w:hAnsi="Calibri"/>
          <w:color w:val="1B202A"/>
          <w:sz w:val="21"/>
          <w:szCs w:val="21"/>
        </w:rPr>
        <w:t xml:space="preserve"> Nine-plus papers read in full, an evidence-based baseline selection with cross-paper numbers, and a pre-registered acceptance band. That evidence becomes orphaned under Stream B.</w:t>
      </w:r>
    </w:p>
    <w:p>
      <w:pPr>
        <w:pStyle w:val="ListParagraph"/>
        <w:numPr>
          <w:ilvl w:val="0"/>
          <w:numId w:val="1"/>
        </w:numPr>
        <w:spacing w:after="90" w:line="288"/>
      </w:pPr>
      <w:r>
        <w:rPr>
          <w:rFonts w:ascii="Calibri" w:cs="Calibri" w:eastAsia="Calibri" w:hAnsi="Calibri"/>
          <w:b/>
          <w:bCs/>
          <w:color w:val="1B202A"/>
          <w:sz w:val="21"/>
          <w:szCs w:val="21"/>
        </w:rPr>
        <w:t xml:space="preserve">The handbook explicitly blesses a product focus inside Stream A.</w:t>
      </w:r>
      <w:r>
        <w:rPr>
          <w:rFonts w:ascii="Calibri" w:cs="Calibri" w:eastAsia="Calibri" w:hAnsi="Calibri"/>
          <w:color w:val="1B202A"/>
          <w:sz w:val="21"/>
          <w:szCs w:val="21"/>
        </w:rPr>
        <w:t xml:space="preserve"> C.2: “implementing a state-of-the-art method as a deployable product… is substantial, defensible and frequently where the complex computing problem actually lives.” Stream A’s own ‘typical contribution’ column lists “engineering a published method into an operable system.”</w:t>
      </w:r>
    </w:p>
    <w:p>
      <w:pPr>
        <w:pStyle w:val="ListParagraph"/>
        <w:numPr>
          <w:ilvl w:val="0"/>
          <w:numId w:val="1"/>
        </w:numPr>
        <w:spacing w:after="90" w:line="288"/>
      </w:pPr>
      <w:r>
        <w:rPr>
          <w:rFonts w:ascii="Calibri" w:cs="Calibri" w:eastAsia="Calibri" w:hAnsi="Calibri"/>
          <w:b/>
          <w:bCs/>
          <w:color w:val="1B202A"/>
          <w:sz w:val="21"/>
          <w:szCs w:val="21"/>
        </w:rPr>
        <w:t xml:space="preserve">We have already avoided Stream A’s failure mode</w:t>
      </w:r>
      <w:r>
        <w:rPr>
          <w:rFonts w:ascii="Calibri" w:cs="Calibri" w:eastAsia="Calibri" w:hAnsi="Calibri"/>
          <w:color w:val="1B202A"/>
          <w:sz w:val="21"/>
          <w:szCs w:val="21"/>
        </w:rPr>
        <w:t xml:space="preserve"> — results with no operable system. We have a committed SDK, a Docker deployment target and a dashboard.</w:t>
      </w:r>
    </w:p>
    <w:p>
      <w:pPr>
        <w:pStyle w:val="ListParagraph"/>
        <w:numPr>
          <w:ilvl w:val="0"/>
          <w:numId w:val="1"/>
        </w:numPr>
        <w:spacing w:after="90" w:line="288"/>
      </w:pPr>
      <w:r>
        <w:rPr>
          <w:rFonts w:ascii="Calibri" w:cs="Calibri" w:eastAsia="Calibri" w:hAnsi="Calibri"/>
          <w:b/>
          <w:bCs/>
          <w:color w:val="1B202A"/>
          <w:sz w:val="21"/>
          <w:szCs w:val="21"/>
        </w:rPr>
        <w:t xml:space="preserve">Timing.</w:t>
      </w:r>
      <w:r>
        <w:rPr>
          <w:rFonts w:ascii="Calibri" w:cs="Calibri" w:eastAsia="Calibri" w:hAnsi="Calibri"/>
          <w:color w:val="1B202A"/>
          <w:sz w:val="21"/>
          <w:szCs w:val="21"/>
        </w:rPr>
        <w:t xml:space="preserve"> Switching now means rewriting the CCP justification, the contribution statement, slides 4 and 5, and the evaluation plan. That is not a framing tweak.</w:t>
      </w:r>
    </w:p>
    <w:p>
      <w:pPr>
        <w:pBdr>
          <w:left w:val="single" w:color="A8760F" w:sz="18" w:space="14"/>
        </w:pBdr>
        <w:shd w:fill="F7EFDC" w:color="auto" w:val="clear"/>
        <w:spacing w:after="160" w:before="160" w:line="288"/>
        <w:ind w:left="200" w:right="200"/>
      </w:pPr>
      <w:r>
        <w:rPr>
          <w:rFonts w:ascii="Calibri" w:cs="Calibri" w:eastAsia="Calibri" w:hAnsi="Calibri"/>
          <w:b/>
          <w:bCs/>
          <w:color w:val="A8760F"/>
          <w:sz w:val="21"/>
          <w:szCs w:val="21"/>
        </w:rPr>
        <w:t xml:space="preserve">The condition attached.  </w:t>
      </w:r>
      <w:r>
        <w:rPr>
          <w:rFonts w:ascii="Calibri" w:cs="Calibri" w:eastAsia="Calibri" w:hAnsi="Calibri"/>
          <w:color w:val="1B202A"/>
          <w:sz w:val="21"/>
          <w:szCs w:val="21"/>
        </w:rPr>
        <w:t xml:space="preserve">Remaining Stream A commits us to actually running the full reproduction by Mid-1. If the team’s real intention is to skip it, then the supervisor is right and the honest move is to switch — but we would then owe a genuine CCP that is not “we combined the features.”</w:t>
      </w:r>
    </w:p>
    <w:p>
      <w:pPr>
        <w:pBdr>
          <w:bottom w:val="single" w:color="C89B3C" w:sz="10" w:space="6"/>
        </w:pBdr>
        <w:spacing w:after="160" w:before="340"/>
      </w:pPr>
      <w:r>
        <w:rPr>
          <w:rFonts w:ascii="Georgia" w:cs="Georgia" w:eastAsia="Georgia" w:hAnsi="Georgia"/>
          <w:b/>
          <w:bCs/>
          <w:color w:val="1B202A"/>
          <w:sz w:val="30"/>
          <w:szCs w:val="30"/>
        </w:rPr>
        <w:t xml:space="preserve">6.  Datasets — an important correction</w:t>
      </w:r>
    </w:p>
    <w:p>
      <w:pPr>
        <w:spacing w:after="140" w:line="288"/>
      </w:pPr>
      <w:r>
        <w:rPr>
          <w:rFonts w:ascii="Calibri" w:cs="Calibri" w:eastAsia="Calibri" w:hAnsi="Calibri"/>
          <w:color w:val="1B202A"/>
          <w:sz w:val="21"/>
          <w:szCs w:val="21"/>
        </w:rPr>
        <w:t xml:space="preserve">The assumption that Stream B removes the need for datasets is </w:t>
      </w:r>
      <w:r>
        <w:rPr>
          <w:rFonts w:ascii="Calibri" w:cs="Calibri" w:eastAsia="Calibri" w:hAnsi="Calibri"/>
          <w:b/>
          <w:bCs/>
          <w:color w:val="A83A30"/>
          <w:sz w:val="21"/>
          <w:szCs w:val="21"/>
        </w:rPr>
        <w:t xml:space="preserve">incorrect</w:t>
      </w:r>
      <w:r>
        <w:rPr>
          <w:rFonts w:ascii="Calibri" w:cs="Calibri" w:eastAsia="Calibri" w:hAnsi="Calibri"/>
          <w:color w:val="1B202A"/>
          <w:sz w:val="21"/>
          <w:szCs w:val="21"/>
        </w:rPr>
        <w:t xml:space="preserve">, and acting on it would cause serious problems at Mid-2 and Final-2.</w:t>
      </w:r>
    </w:p>
    <w:p>
      <w:pPr>
        <w:spacing w:after="140" w:line="288"/>
      </w:pPr>
      <w:r>
        <w:rPr>
          <w:rFonts w:ascii="Calibri" w:cs="Calibri" w:eastAsia="Calibri" w:hAnsi="Calibri"/>
          <w:color w:val="1B202A"/>
          <w:sz w:val="21"/>
          <w:szCs w:val="21"/>
        </w:rPr>
        <w:t xml:space="preserve">Evaluation sits in the “One standard” box that both streams converge on. Gate 4 (Mid-2) requires “evaluation running against the baseline” with “non-functional criteria measured against their stated targets rather than asserted.” Gate 5 (Final-2) requires “completed evaluation with results, limitations and failure analysis.” A Stream B project “with no evaluation beyond a demonstration has not met the standard.”</w:t>
      </w:r>
    </w:p>
    <w:p>
      <w:pPr>
        <w:spacing w:after="160"/>
      </w:pPr>
    </w:p>
    <w:tbl>
      <w:tblPr>
        <w:tblW w:type="pct" w:w="100%"/>
        <w:tblBorders>
          <w:top w:val="single" w:color="D9DCE3" w:sz="4"/>
          <w:left w:val="single" w:color="D9DCE3" w:sz="4"/>
          <w:bottom w:val="single" w:color="D9DCE3" w:sz="4"/>
          <w:right w:val="single" w:color="D9DCE3" w:sz="4"/>
          <w:insideH w:val="single" w:color="D9DCE3" w:sz="4"/>
          <w:insideV w:val="single" w:color="D9DCE3" w:sz="4"/>
        </w:tblBorders>
      </w:tblPr>
      <w:tblGrid>
        <w:gridCol w:w="100"/>
        <w:gridCol w:w="100"/>
        <w:gridCol w:w="100"/>
      </w:tblGrid>
      <w:tr>
        <w:tc>
          <w:tcPr>
            <w:tcW w:type="pct" w:w="34%"/>
            <w:shd w:fill="1E242F"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Dataset</w:t>
            </w:r>
          </w:p>
        </w:tc>
        <w:tc>
          <w:tcPr>
            <w:tcW w:type="pct" w:w="33%"/>
            <w:shd w:fill="1E242F"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Under Stream A</w:t>
            </w:r>
          </w:p>
        </w:tc>
        <w:tc>
          <w:tcPr>
            <w:tcW w:type="pct" w:w="33%"/>
            <w:shd w:fill="1E242F"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Under Stream B</w:t>
            </w:r>
          </w:p>
        </w:tc>
      </w:tr>
      <w:tr>
        <w:tc>
          <w:tcPr>
            <w:tcW w:type="pct" w:w="34%"/>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Who&amp;When (184 real cases)</w:t>
            </w:r>
          </w:p>
        </w:tc>
        <w:tc>
          <w:tcPr>
            <w:tcW w:type="pct" w:w="33%"/>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Needed — it is the ErrorProbe reproduction baseline.</w:t>
            </w:r>
          </w:p>
        </w:tc>
        <w:tc>
          <w:tcPr>
            <w:tcW w:type="pct" w:w="33%"/>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Optional, but we would lose our only comparison against a published number.</w:t>
            </w:r>
          </w:p>
        </w:tc>
      </w:tr>
      <w:tr>
        <w:tc>
          <w:tcPr>
            <w:tcW w:type="pct" w:w="34%"/>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Our own fault-injection benchmark (GSM8K + tau-bench retail substrates)</w:t>
            </w:r>
          </w:p>
        </w:tc>
        <w:tc>
          <w:tcPr>
            <w:tcW w:type="pct" w:w="33%"/>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Needed.</w:t>
            </w:r>
          </w:p>
        </w:tc>
        <w:tc>
          <w:tcPr>
            <w:tcW w:type="pct" w:w="33%"/>
            <w:shd w:fill="E6F1EB" w:color="auto" w:val="clear"/>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Still needed — it is the only way to measure silent-failure precision and recall.</w:t>
            </w:r>
          </w:p>
        </w:tc>
      </w:tr>
      <w:tr>
        <w:tc>
          <w:tcPr>
            <w:tcW w:type="pct" w:w="34%"/>
            <w:shd w:fill="F1F2F5" w:color="auto" w:val="clear"/>
            <w:tcMar>
              <w:top w:type="dxa" w:w="90"/>
              <w:left w:type="dxa" w:w="130"/>
              <w:bottom w:type="dxa" w:w="90"/>
              <w:right w:type="dxa" w:w="130"/>
            </w:tcMar>
          </w:tcPr>
          <w:p>
            <w:pPr>
              <w:spacing w:after="0" w:line="264"/>
            </w:pPr>
            <w:r>
              <w:rPr>
                <w:rFonts w:ascii="Calibri" w:cs="Calibri" w:eastAsia="Calibri" w:hAnsi="Calibri"/>
                <w:b/>
                <w:bCs/>
                <w:color w:val="1B202A"/>
                <w:sz w:val="19"/>
                <w:szCs w:val="19"/>
              </w:rPr>
              <w:t xml:space="preserve">15–20% clean controls</w:t>
            </w:r>
          </w:p>
        </w:tc>
        <w:tc>
          <w:tcPr>
            <w:tcW w:type="pct" w:w="33%"/>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Needed.</w:t>
            </w:r>
          </w:p>
        </w:tc>
        <w:tc>
          <w:tcPr>
            <w:tcW w:type="pct" w:w="33%"/>
            <w:shd w:fill="E6F1EB" w:color="auto" w:val="clear"/>
            <w:tcMar>
              <w:top w:type="dxa" w:w="90"/>
              <w:left w:type="dxa" w:w="130"/>
              <w:bottom w:type="dxa" w:w="90"/>
              <w:right w:type="dxa" w:w="130"/>
            </w:tcMar>
          </w:tcPr>
          <w:p>
            <w:pPr>
              <w:spacing w:after="0" w:line="264"/>
            </w:pPr>
            <w:r>
              <w:rPr>
                <w:rFonts w:ascii="Calibri" w:cs="Calibri" w:eastAsia="Calibri" w:hAnsi="Calibri"/>
                <w:color w:val="1B202A"/>
                <w:sz w:val="19"/>
                <w:szCs w:val="19"/>
              </w:rPr>
              <w:t xml:space="preserve">Still needed — without them the false-positive rate cannot be measured.</w:t>
            </w:r>
          </w:p>
        </w:tc>
      </w:tr>
    </w:tbl>
    <w:p>
      <w:pPr>
        <w:spacing w:after="160"/>
      </w:pPr>
    </w:p>
    <w:p>
      <w:pPr>
        <w:spacing w:after="140" w:line="288"/>
      </w:pPr>
      <w:r>
        <w:rPr>
          <w:rFonts w:ascii="Calibri" w:cs="Calibri" w:eastAsia="Calibri" w:hAnsi="Calibri"/>
          <w:color w:val="1B202A"/>
          <w:sz w:val="21"/>
          <w:szCs w:val="21"/>
        </w:rPr>
        <w:t xml:space="preserve">In short: switching streams would save roughly </w:t>
      </w:r>
      <w:r>
        <w:rPr>
          <w:rFonts w:ascii="Calibri" w:cs="Calibri" w:eastAsia="Calibri" w:hAnsi="Calibri"/>
          <w:b/>
          <w:bCs/>
          <w:color w:val="1B202A"/>
          <w:sz w:val="21"/>
          <w:szCs w:val="21"/>
        </w:rPr>
        <w:t xml:space="preserve">one dataset and the reproduction run</w:t>
      </w:r>
      <w:r>
        <w:rPr>
          <w:rFonts w:ascii="Calibri" w:cs="Calibri" w:eastAsia="Calibri" w:hAnsi="Calibri"/>
          <w:color w:val="1B202A"/>
          <w:sz w:val="21"/>
          <w:szCs w:val="21"/>
        </w:rPr>
        <w:t xml:space="preserve">. It would not save the benchmark — because without labelled, fault-injected traces we cannot </w:t>
      </w:r>
      <w:r>
        <w:rPr>
          <w:rFonts w:ascii="Calibri" w:cs="Calibri" w:eastAsia="Calibri" w:hAnsi="Calibri"/>
          <w:i/>
          <w:iCs/>
          <w:color w:val="1B202A"/>
          <w:sz w:val="21"/>
          <w:szCs w:val="21"/>
        </w:rPr>
        <w:t xml:space="preserve">measure</w:t>
      </w:r>
      <w:r>
        <w:rPr>
          <w:rFonts w:ascii="Calibri" w:cs="Calibri" w:eastAsia="Calibri" w:hAnsi="Calibri"/>
          <w:color w:val="1B202A"/>
          <w:sz w:val="21"/>
          <w:szCs w:val="21"/>
        </w:rPr>
        <w:t xml:space="preserve"> that our detection works; we could only demonstrate it. “Demonstration without measurement” is precisely the Stream B failure the handbook names.</w:t>
      </w:r>
    </w:p>
    <w:p>
      <w:pPr>
        <w:pBdr>
          <w:bottom w:val="single" w:color="C89B3C" w:sz="10" w:space="6"/>
        </w:pBdr>
        <w:spacing w:after="160" w:before="340"/>
      </w:pPr>
      <w:r>
        <w:rPr>
          <w:rFonts w:ascii="Georgia" w:cs="Georgia" w:eastAsia="Georgia" w:hAnsi="Georgia"/>
          <w:b/>
          <w:bCs/>
          <w:color w:val="1B202A"/>
          <w:sz w:val="30"/>
          <w:szCs w:val="30"/>
        </w:rPr>
        <w:t xml:space="preserve">7.  Proposed action this week</w:t>
      </w:r>
    </w:p>
    <w:p>
      <w:pPr>
        <w:spacing w:after="140" w:line="288"/>
      </w:pPr>
      <w:r>
        <w:rPr>
          <w:rFonts w:ascii="Calibri" w:cs="Calibri" w:eastAsia="Calibri" w:hAnsi="Calibri"/>
          <w:color w:val="1B202A"/>
          <w:sz w:val="21"/>
          <w:szCs w:val="21"/>
        </w:rPr>
        <w:t xml:space="preserve">Return to the supervisor with one sentence:</w:t>
      </w:r>
    </w:p>
    <w:p>
      <w:pPr>
        <w:pBdr>
          <w:left w:val="single" w:color="1E7A52" w:sz="18" w:space="14"/>
        </w:pBdr>
        <w:shd w:fill="E6F1EB" w:color="auto" w:val="clear"/>
        <w:spacing w:after="160" w:before="120" w:line="288"/>
        <w:ind w:left="200" w:right="200"/>
      </w:pPr>
      <w:r>
        <w:rPr>
          <w:rFonts w:ascii="Georgia" w:cs="Georgia" w:eastAsia="Georgia" w:hAnsi="Georgia"/>
          <w:i/>
          <w:iCs/>
          <w:color w:val="1B202A"/>
          <w:sz w:val="22"/>
          <w:szCs w:val="22"/>
        </w:rPr>
        <w:t xml:space="preserve">“We are running the ErrorProbe reproduction — Spike 1 already produced 71.4% agent and 13.2% step accuracy over five real runs, and the full three-stage run is our top FYP-1 priority with a pre-registered ±10-point acceptance band. Does that resolve the concern?”</w:t>
      </w:r>
    </w:p>
    <w:p>
      <w:pPr>
        <w:spacing w:after="140" w:line="288"/>
      </w:pPr>
      <w:r>
        <w:rPr>
          <w:rFonts w:ascii="Calibri" w:cs="Calibri" w:eastAsia="Calibri" w:hAnsi="Calibri"/>
          <w:color w:val="1B202A"/>
          <w:sz w:val="21"/>
          <w:szCs w:val="21"/>
        </w:rPr>
        <w:t xml:space="preserve">If he agrees, we remain Stream A with his backing. If he still prefers Stream B, C.1.1 states that the stream “may be changed later only with supervisor approval” — so the door stays open, and nothing is lost by defending Stream A now.</w:t>
      </w:r>
    </w:p>
    <w:p>
      <w:pPr>
        <w:spacing w:after="110" w:before="260"/>
      </w:pPr>
      <w:r>
        <w:rPr>
          <w:rFonts w:ascii="Georgia" w:cs="Georgia" w:eastAsia="Georgia" w:hAnsi="Georgia"/>
          <w:b/>
          <w:bCs/>
          <w:color w:val="1B202A"/>
          <w:sz w:val="24"/>
          <w:szCs w:val="24"/>
        </w:rPr>
        <w:t xml:space="preserve">Caveat on this memo</w:t>
      </w:r>
    </w:p>
    <w:p>
      <w:pPr>
        <w:spacing w:after="140" w:line="288"/>
      </w:pPr>
      <w:r>
        <w:rPr>
          <w:rFonts w:ascii="Calibri" w:cs="Calibri" w:eastAsia="Calibri" w:hAnsi="Calibri"/>
          <w:color w:val="1B202A"/>
          <w:sz w:val="21"/>
          <w:szCs w:val="21"/>
        </w:rPr>
        <w:t xml:space="preserve">This analysis is based on the handbook and the project repository. It does not account for anything raised in the meeting beyond the reproduction concern. If the supervisor also questioned whether the CCP holds up, or individual ownership, those would change the analysis and should be recorded before a decision is made.</w:t>
      </w:r>
    </w:p>
    <w:p>
      <w:pPr>
        <w:pBdr>
          <w:bottom w:val="single" w:color="C89B3C" w:sz="10" w:space="6"/>
        </w:pBdr>
        <w:spacing w:after="160" w:before="340"/>
      </w:pPr>
      <w:r>
        <w:rPr>
          <w:rFonts w:ascii="Georgia" w:cs="Georgia" w:eastAsia="Georgia" w:hAnsi="Georgia"/>
          <w:b/>
          <w:bCs/>
          <w:color w:val="1B202A"/>
          <w:sz w:val="30"/>
          <w:szCs w:val="30"/>
        </w:rPr>
        <w:t xml:space="preserve">Handbook sources cited</w:t>
      </w:r>
    </w:p>
    <w:p>
      <w:pPr>
        <w:pStyle w:val="ListParagraph"/>
        <w:numPr>
          <w:ilvl w:val="0"/>
          <w:numId w:val="1"/>
        </w:numPr>
        <w:spacing w:after="90" w:line="288"/>
      </w:pPr>
      <w:r>
        <w:rPr>
          <w:rFonts w:ascii="Calibri" w:cs="Calibri" w:eastAsia="Calibri" w:hAnsi="Calibri"/>
          <w:color w:val="1B202A"/>
          <w:sz w:val="21"/>
          <w:szCs w:val="21"/>
        </w:rPr>
        <w:t xml:space="preserve">C.1.1 — Two Entry Points, One Standard (stream definitions, comparison table, “both streams end in the same place”) — pp. 49–50</w:t>
      </w:r>
    </w:p>
    <w:p>
      <w:pPr>
        <w:pStyle w:val="ListParagraph"/>
        <w:numPr>
          <w:ilvl w:val="0"/>
          <w:numId w:val="1"/>
        </w:numPr>
        <w:spacing w:after="90" w:line="288"/>
      </w:pPr>
      <w:r>
        <w:rPr>
          <w:rFonts w:ascii="Calibri" w:cs="Calibri" w:eastAsia="Calibri" w:hAnsi="Calibri"/>
          <w:color w:val="1B202A"/>
          <w:sz w:val="21"/>
          <w:szCs w:val="21"/>
        </w:rPr>
        <w:t xml:space="preserve">C.2 — Research and Development is Embedded in Every FYP (state-of-the-art work; “novelty is not a compulsory claim”) — p. 52</w:t>
      </w:r>
    </w:p>
    <w:p>
      <w:pPr>
        <w:pStyle w:val="ListParagraph"/>
        <w:numPr>
          <w:ilvl w:val="0"/>
          <w:numId w:val="1"/>
        </w:numPr>
        <w:spacing w:after="90" w:line="288"/>
      </w:pPr>
      <w:r>
        <w:rPr>
          <w:rFonts w:ascii="Calibri" w:cs="Calibri" w:eastAsia="Calibri" w:hAnsi="Calibri"/>
          <w:color w:val="1B202A"/>
          <w:sz w:val="21"/>
          <w:szCs w:val="21"/>
        </w:rPr>
        <w:t xml:space="preserve">C.4 — Contribution statement guidance (“avoid … we will combine many features”) — p. 55</w:t>
      </w:r>
    </w:p>
    <w:p>
      <w:pPr>
        <w:pStyle w:val="ListParagraph"/>
        <w:numPr>
          <w:ilvl w:val="0"/>
          <w:numId w:val="1"/>
        </w:numPr>
        <w:spacing w:after="90" w:line="288"/>
      </w:pPr>
      <w:r>
        <w:rPr>
          <w:rFonts w:ascii="Calibri" w:cs="Calibri" w:eastAsia="Calibri" w:hAnsi="Calibri"/>
          <w:color w:val="1B202A"/>
          <w:sz w:val="21"/>
          <w:szCs w:val="21"/>
        </w:rPr>
        <w:t xml:space="preserve">C.5.1 — Checkpoints: The Five Evaluation Stages (Gate 4 and Gate 5 evaluation requirements) — pp. 56–57</w:t>
      </w:r>
    </w:p>
    <w:p>
      <w:pPr>
        <w:pStyle w:val="ListParagraph"/>
        <w:numPr>
          <w:ilvl w:val="0"/>
          <w:numId w:val="1"/>
        </w:numPr>
        <w:spacing w:after="90" w:line="288"/>
      </w:pPr>
      <w:r>
        <w:rPr>
          <w:rFonts w:ascii="Calibri" w:cs="Calibri" w:eastAsia="Calibri" w:hAnsi="Calibri"/>
          <w:color w:val="1B202A"/>
          <w:sz w:val="21"/>
          <w:szCs w:val="21"/>
        </w:rPr>
        <w:t xml:space="preserve">C.9 — A Disciplined Idea-Discovery Process (stream entry points into the sequence) — p. 64</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8B92A2"/>
        <w:sz w:val="16"/>
        <w:szCs w:val="16"/>
      </w:rPr>
      <w:t xml:space="preserve">F26-060-GRANITE  ·  Stream Decision Memo  ·  </w:t>
    </w:r>
    <w:r>
      <w:rPr>
        <w:rFonts w:ascii="Consolas" w:cs="Consolas" w:eastAsia="Consolas" w:hAnsi="Consolas"/>
        <w:b/>
        <w:bCs/>
        <w:color w:val="8E6A1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Granite — Stream A or Stream B? Decision Memo</dc:title>
  <dc:creator>Muhammad Noor</dc:creator>
  <dc:description>Handbook-grounded stream decision memo for F26-060-Granite</dc:description>
  <cp:lastModifiedBy>Un-named</cp:lastModifiedBy>
  <cp:revision>1</cp:revision>
  <dcterms:created xsi:type="dcterms:W3CDTF">2026-09-07T14:36:31.325Z</dcterms:created>
  <dcterms:modified xsi:type="dcterms:W3CDTF">2026-09-07T14:36:31.327Z</dcterms:modified>
</cp:coreProperties>
</file>

<file path=docProps/custom.xml><?xml version="1.0" encoding="utf-8"?>
<Properties xmlns="http://schemas.openxmlformats.org/officeDocument/2006/custom-properties" xmlns:vt="http://schemas.openxmlformats.org/officeDocument/2006/docPropsVTypes"/>
</file>