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Granite — Complex Computing Problem (CCP) Justification</w:t>
      </w:r>
    </w:p>
    <w:p>
      <w:pPr>
        <w:jc w:val="center"/>
      </w:pPr>
      <w:r>
        <w:rPr>
          <w:i/>
          <w:sz w:val="20"/>
        </w:rPr>
        <w:t>Per Seoul Accord Sections D.4.1 and D.4.2</w:t>
        <w:br/>
        <w:t>Prepared 2026-08-24</w:t>
      </w:r>
    </w:p>
    <w:p/>
    <w:p>
      <w:pPr>
        <w:pStyle w:val="Heading1"/>
      </w:pPr>
      <w:r>
        <w:t>How to Read This Document</w:t>
      </w:r>
    </w:p>
    <w:p>
      <w:r>
        <w:t>For each of the 9 characteristics in Seoul Accord D.4.1 (Range of Problem Solving), the tiered options are listed, the tier best describing Granite is marked, and an evidence-backed justification follows. Characteristic #6 (Stakeholder Involvement) is deliberately rated at the middle tier to maintain strict empirical honesty pending direct stakeholder interviews.</w:t>
      </w:r>
    </w:p>
    <w:p>
      <w:pPr>
        <w:pStyle w:val="Heading1"/>
      </w:pPr>
      <w:r>
        <w:t>1. Range of Conflicting Requirements</w:t>
      </w:r>
    </w:p>
    <w:p>
      <w:r>
        <w:t>☑ Involves wide-ranging or conflicting technical, computing, and other issues</w:t>
      </w:r>
      <w:r>
        <w:br/>
      </w:r>
      <w:r>
        <w:t>☐ Involves a variety of factors, which may impose conflicting constraints</w:t>
      </w:r>
      <w:r>
        <w:br/>
      </w:r>
      <w:r>
        <w:t>☐ Involves several issues, but with few of these exerting conflicting constraints</w:t>
      </w:r>
    </w:p>
    <w:p>
      <w:r>
        <w:t>Justification:</w:t>
      </w:r>
      <w:r>
        <w:br/>
      </w:r>
      <w:r>
        <w:t>Granite has three core trade-offs engineered into its design:</w:t>
      </w:r>
    </w:p>
    <w:p>
      <w:r>
        <w:t>• Diagnostic Depth vs. Latency: The multi-stage attribution pipeline (Culprit Agent, Error Step Localization, Verification Agent) provides higher accuracy than single-pass methods but incurs greater inference latency per diagnosis.</w:t>
      </w:r>
      <w:r>
        <w:br/>
      </w:r>
      <w:r>
        <w:t>• Trace Completeness vs. Privacy: Accurate root-cause attribution requires complete execution traces, conflicting directly with data-minimization requirements (addressed in the R16 threat model).</w:t>
      </w:r>
      <w:r>
        <w:br/>
      </w:r>
      <w:r>
        <w:t>• Generalization vs. Specialization: Broad multi-framework execution support (CrewAI, LangGraph, and a 3rd framework without per-framework tuning) forfeits framework-specific optimization in favor of cross-architecture applicability.</w:t>
      </w:r>
    </w:p>
    <w:p>
      <w:pPr>
        <w:pStyle w:val="Heading1"/>
      </w:pPr>
      <w:r>
        <w:t>2. Depth of Analysis Required</w:t>
      </w:r>
    </w:p>
    <w:p>
      <w:r>
        <w:t>☑ Has no obvious solution, and requires conceptual thinking and innovative analysis to formulate suitable abstract models</w:t>
      </w:r>
      <w:r>
        <w:br/>
      </w:r>
      <w:r>
        <w:t>☐ Can be solved by application of well-proven analysis techniques</w:t>
      </w:r>
      <w:r>
        <w:br/>
      </w:r>
      <w:r>
        <w:t>☐ Can be solved in standardized ways</w:t>
      </w:r>
    </w:p>
    <w:p>
      <w:r>
        <w:t>Justification:</w:t>
      </w:r>
      <w:r>
        <w:br/>
      </w:r>
      <w:r>
        <w:t>The current state-of-the-art method in this domain, ErrorProbe (ACL 2026), reaches only 59.5% step-level attribution accuracy despite sustained field-wide research. Standardized techniques are insufficient. Solving the problem requires formulating abstract models for multi-agent execution as causal graphs, defining counterfactual re-execution semantics, and framing silent-failure detection as task-constraint verification rather than traditional anomaly detection.</w:t>
      </w:r>
    </w:p>
    <w:p>
      <w:pPr>
        <w:pStyle w:val="Heading1"/>
      </w:pPr>
      <w:r>
        <w:t>3. Depth of Knowledge Required</w:t>
      </w:r>
    </w:p>
    <w:p>
      <w:r>
        <w:t>☑ A solution requires the use of in-depth computing or domain knowledge and an analytical approach that is based on well-founded principles</w:t>
      </w:r>
      <w:r>
        <w:br/>
      </w:r>
      <w:r>
        <w:t>☐ A solution requires knowledge of principles, and applied procedures or methodologies</w:t>
      </w:r>
      <w:r>
        <w:br/>
      </w:r>
      <w:r>
        <w:t>☐ Can be resolved using limited theoretical knowledge, but normally requires substantial practical knowledge</w:t>
      </w:r>
    </w:p>
    <w:p>
      <w:r>
        <w:t>Justification:</w:t>
      </w:r>
      <w:r>
        <w:br/>
      </w:r>
      <w:r>
        <w:t>The implementation spans multiple graduate-level domains: causal-graph modeling (including bounded backward tracing and cycle handling), distributed tracing across asynchronous agent systems, counterfactual replay for repair verification, and schema/constraint-based semantic verification. It required reproducing and extending published multi-stage architectures (Strategist → Investigator → Arbiter) directly from paper specifications.</w:t>
      </w:r>
    </w:p>
    <w:p>
      <w:pPr>
        <w:pStyle w:val="Heading1"/>
      </w:pPr>
      <w:r>
        <w:t>4. Familiarity of Issues</w:t>
      </w:r>
    </w:p>
    <w:p>
      <w:r>
        <w:t>☑ Involves infrequently-encountered issues</w:t>
      </w:r>
      <w:r>
        <w:br/>
      </w:r>
      <w:r>
        <w:t>☐ Belongs to families of familiar problems, which are solved in well-accepted ways; context may be unfamiliar</w:t>
      </w:r>
      <w:r>
        <w:br/>
      </w:r>
      <w:r>
        <w:t>☐ Is frequently encountered and thus familiar to most practitioners in the field; context may be unfamiliar</w:t>
      </w:r>
    </w:p>
    <w:p>
      <w:r>
        <w:t>Justification:</w:t>
      </w:r>
      <w:r>
        <w:br/>
      </w:r>
      <w:r>
        <w:t>Silent failures—outputs that are syntactically valid and pass standard runtime checks yet remain semantically incorrect—bypass standard software error-handling mechanisms (such as try/catch blocks or HTTP status codes). In natural-occurrence baseline tests (Spike 4), silent failures occurred infrequently without deliberate fault injection, illustrating how rarely this failure class surfaces during conventional testing. Furthermore, failure attribution across unaligned agent architectures remains largely unaddressed in prior literature.</w:t>
      </w:r>
    </w:p>
    <w:p>
      <w:pPr>
        <w:pStyle w:val="Heading1"/>
      </w:pPr>
      <w:r>
        <w:t>5. Level of Problem</w:t>
      </w:r>
    </w:p>
    <w:p>
      <w:r>
        <w:t>☑ Is outside problems encompassed by standards and standard practice for professional computing</w:t>
      </w:r>
      <w:r>
        <w:br/>
      </w:r>
      <w:r>
        <w:t>☐ May be partially outside those encompassed by standards or standard practice</w:t>
      </w:r>
      <w:r>
        <w:br/>
      </w:r>
      <w:r>
        <w:t>☐ Is encompassed by standards and/or documented procedures of practice</w:t>
      </w:r>
    </w:p>
    <w:p>
      <w:r>
        <w:t>Justification:</w:t>
      </w:r>
      <w:r>
        <w:br/>
      </w:r>
      <w:r>
        <w:t>No standardized industry practice exists for multi-agent failure attribution, counterfactual fix verification, or non-RAG silent-failure detection. A market check of 7 commercial observability platforms (LangSmith, Langfuse, Braintrust, Arize, Maxim AI, Opik, DeepEval) confirmed that automated counterfactual fix verification and generalized silent-failure constraint checking are not offered as standardized commercial capabilities.</w:t>
      </w:r>
    </w:p>
    <w:p>
      <w:pPr>
        <w:pStyle w:val="Heading1"/>
      </w:pPr>
      <w:r>
        <w:t>6. Extent of Stakeholder Involvement and Level of Conflicting Requirements</w:t>
      </w:r>
    </w:p>
    <w:p>
      <w:r>
        <w:t>☐ Involves diverse groups of stakeholders with widely varying needs</w:t>
      </w:r>
      <w:r>
        <w:br/>
      </w:r>
      <w:r>
        <w:t>☑ Involves several groups of stakeholders with differing and occasionally conflicting needs</w:t>
      </w:r>
      <w:r>
        <w:br/>
      </w:r>
      <w:r>
        <w:t>☐ Involves a limited range of stakeholders with differing needs</w:t>
      </w:r>
    </w:p>
    <w:p>
      <w:r>
        <w:t>Justification:</w:t>
      </w:r>
      <w:r>
        <w:br/>
      </w:r>
      <w:r>
        <w:t>Rated at the middle tier. Stakeholder groups with differing requirements have been identified in principle—SREs requiring rapid diagnosis, benchmark researchers requiring reproducible artifacts, compliance teams needing silent-failure detection, and platform engineers requiring low integration friction. However, direct primary interview data across all stakeholder groups remains an open item prior to final project defense.</w:t>
      </w:r>
    </w:p>
    <w:p>
      <w:pPr>
        <w:pStyle w:val="Heading1"/>
      </w:pPr>
      <w:r>
        <w:t>7. Consequences</w:t>
      </w:r>
    </w:p>
    <w:p>
      <w:r>
        <w:t>☑ Has significant consequences in a range of contexts</w:t>
      </w:r>
      <w:r>
        <w:br/>
      </w:r>
      <w:r>
        <w:t>☐ Has consequences that are important locally, but may extend to a broader context</w:t>
      </w:r>
      <w:r>
        <w:br/>
      </w:r>
      <w:r>
        <w:t>☐ Has consequences that are important locally, and usually are not far-reaching</w:t>
      </w:r>
    </w:p>
    <w:p>
      <w:r>
        <w:t>Justification:</w:t>
      </w:r>
      <w:r>
        <w:br/>
      </w:r>
      <w:r>
        <w:t>Unidentified silent failures allow multi-agent systems to return incorrect outputs to end-users without raising system alerts. Applied use-case evaluations demonstrate critical risks across multiple domains, including erroneous financial calculations in customer support pipelines, unverified constraint violations in automated purchasing workflows, and state synchronization errors between concurrent operational agents.</w:t>
      </w:r>
    </w:p>
    <w:p>
      <w:pPr>
        <w:pStyle w:val="Heading1"/>
      </w:pPr>
      <w:r>
        <w:t>8. Interdependence</w:t>
      </w:r>
    </w:p>
    <w:p>
      <w:r>
        <w:t>☑ Is a high-level problem possibly including many component parts or sub-problems</w:t>
      </w:r>
      <w:r>
        <w:br/>
      </w:r>
      <w:r>
        <w:t>☐ Is part of, or systems within, a complex computing problem</w:t>
      </w:r>
      <w:r>
        <w:br/>
      </w:r>
      <w:r>
        <w:t>☐ Is a discrete component of a computing system</w:t>
      </w:r>
    </w:p>
    <w:p>
      <w:r>
        <w:t>Justification:</w:t>
      </w:r>
      <w:r>
        <w:br/>
      </w:r>
      <w:r>
        <w:t>The overall problem decomposes into 10 interdependent foundational modules: multi-framework fault injection, cross-architecture benchmark generation, Culprit Agent localization, Error Step Localization, tool-grounded Verification, Repair Agent generation, Semantic Error Diagnostics, Verified Automatic Repair (counterfactual replay), Recovery Control state-checkpointing, and Verified Repair Memory. Errors propagate dynamically across interdependent agent sub-tasks, requiring causal backward tracing to resolve.</w:t>
      </w:r>
    </w:p>
    <w:p>
      <w:pPr>
        <w:pStyle w:val="Heading1"/>
      </w:pPr>
      <w:r>
        <w:t>9. Requirement Identification</w:t>
      </w:r>
    </w:p>
    <w:p>
      <w:r>
        <w:t>☑ Identification of a requirement or the cause of a problem is ill-defined or unknown</w:t>
      </w:r>
      <w:r>
        <w:br/>
      </w:r>
      <w:r>
        <w:t>☐ Identification of a requirement or the cause of a problem is possible from a set of known options</w:t>
      </w:r>
      <w:r>
        <w:br/>
      </w:r>
      <w:r>
        <w:t>☐ A requirement or the cause of a problem can be determined by well-established ways</w:t>
      </w:r>
    </w:p>
    <w:p>
      <w:r>
        <w:t>Justification:</w:t>
      </w:r>
      <w:r>
        <w:br/>
      </w:r>
      <w:r>
        <w:t>When an execution failure occurs, three core variables are unknown at runtime: (1) whether a silent failure is present in the output, (2) which upstream agent and execution step originated the defect, and (3) what valid execution behavior should have been. The system's multi-stage pipeline—Semantic Error Diagnostics → backward causal tracing → Repair Agent generation → counterfactual replay—is designed specifically to progressively resolve this runtime uncertainty.</w:t>
      </w:r>
    </w:p>
    <w:p>
      <w:pPr>
        <w:pStyle w:val="Heading1"/>
      </w:pPr>
      <w:r>
        <w:t>Overall CCP Selection Justification</w:t>
      </w:r>
    </w:p>
    <w:p>
      <w:r>
        <w:t>Granite meets the "Complex" tier on 8 of 9 D.4.1 characteristics, with stakeholder involvement rated at the middle tier pending primary survey completion. This classification is backed by empirical evidence: 8 reproduced proof-of-concept spikes (including fault injection, graph execution tracing, silent-failure verification, counterfactual replay, cyclic graph handling, and Repair Agent synthesis), a literature review of 9+ peer-reviewed papers, and a market analysis of 7 commercial observability platforms.</w:t>
      </w:r>
    </w:p>
    <w:p>
      <w:r>
        <w:t>The combined evidence highlights a clear research and tooling gap:</w:t>
      </w:r>
    </w:p>
    <w:p>
      <w:r>
        <w:t>• State-of-the-art step-level attribution accuracy remains capped at 59.5%.</w:t>
      </w:r>
      <w:r>
        <w:br/>
      </w:r>
      <w:r>
        <w:t>• Commercial observability tools do not provide standardized silent-failure verification or automated counterfactual fix validation.</w:t>
      </w:r>
      <w:r>
        <w:br/>
      </w:r>
      <w:r>
        <w:t>• Prior attribution techniques have not demonstrated generalization across unstudied, heterogeneous multi-agent architectures.</w:t>
      </w:r>
    </w:p>
    <w:p>
      <w:r>
        <w:t>These factors confirm that Granite addresses a complex computing problem under Seoul Accord standards.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Granite — Complex Computing Problem (CCP) Justification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